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MON_1293342445"/>
    <w:bookmarkStart w:id="1" w:name="_MON_1324459905"/>
    <w:bookmarkStart w:id="2" w:name="_MON_1105267064"/>
    <w:bookmarkStart w:id="3" w:name="_MON_1230358636"/>
    <w:bookmarkEnd w:id="0"/>
    <w:bookmarkEnd w:id="1"/>
    <w:bookmarkEnd w:id="2"/>
    <w:bookmarkEnd w:id="3"/>
    <w:bookmarkStart w:id="4" w:name="_MON_1260770712"/>
    <w:bookmarkEnd w:id="4"/>
    <w:p w:rsidR="0038619B" w:rsidRDefault="0038619B">
      <w:pPr>
        <w:spacing w:after="100" w:line="240" w:lineRule="auto"/>
        <w:jc w:val="center"/>
      </w:pPr>
      <w:r>
        <w:object w:dxaOrig="900" w:dyaOrig="1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64.65pt" o:ole="" fillcolor="window">
            <v:imagedata r:id="rId7" o:title=""/>
          </v:shape>
          <o:OLEObject Type="Embed" ProgID="Word.Picture.8" ShapeID="_x0000_i1025" DrawAspect="Content" ObjectID="_1512453398" r:id="rId8"/>
        </w:object>
      </w:r>
    </w:p>
    <w:p w:rsidR="0038619B" w:rsidRDefault="0038619B">
      <w:pPr>
        <w:pStyle w:val="Ttolpublicaci"/>
        <w:rPr>
          <w:sz w:val="24"/>
        </w:rPr>
      </w:pPr>
      <w:r>
        <w:t>Butlletí</w:t>
      </w:r>
      <w:r>
        <w:br/>
        <w:t>del</w:t>
      </w:r>
      <w:r>
        <w:br/>
        <w:t>Consell General</w:t>
      </w:r>
    </w:p>
    <w:p w:rsidR="0038619B" w:rsidRDefault="00251A11">
      <w:pPr>
        <w:pStyle w:val="Centrat"/>
      </w:pPr>
      <w:r>
        <w:t xml:space="preserve">Núm. </w:t>
      </w:r>
      <w:r w:rsidR="002C794E">
        <w:t>66</w:t>
      </w:r>
      <w:r>
        <w:t>/201</w:t>
      </w:r>
      <w:r w:rsidR="00B27FA3">
        <w:t>5</w:t>
      </w:r>
    </w:p>
    <w:p w:rsidR="0038619B" w:rsidRDefault="00251A11">
      <w:pPr>
        <w:pStyle w:val="Centrat2"/>
      </w:pPr>
      <w:r>
        <w:t xml:space="preserve">Casa de la Vall, </w:t>
      </w:r>
      <w:r w:rsidR="002C794E">
        <w:t>24</w:t>
      </w:r>
      <w:r>
        <w:t xml:space="preserve"> de </w:t>
      </w:r>
      <w:r w:rsidR="002C794E">
        <w:t>desembre</w:t>
      </w:r>
      <w:r>
        <w:t xml:space="preserve"> del 201</w:t>
      </w:r>
      <w:r w:rsidR="00B27FA3">
        <w:t>5</w:t>
      </w:r>
    </w:p>
    <w:p w:rsidR="0038619B" w:rsidRDefault="0038619B">
      <w:pPr>
        <w:pStyle w:val="Sumari"/>
      </w:pPr>
      <w:r>
        <w:t>SUMARI</w:t>
      </w:r>
    </w:p>
    <w:p w:rsidR="0038619B" w:rsidRDefault="0038619B">
      <w:pPr>
        <w:jc w:val="center"/>
      </w:pPr>
    </w:p>
    <w:p w:rsidR="0038619B" w:rsidRDefault="0038619B">
      <w:pPr>
        <w:jc w:val="center"/>
        <w:sectPr w:rsidR="0038619B">
          <w:headerReference w:type="even" r:id="rId9"/>
          <w:headerReference w:type="default" r:id="rId10"/>
          <w:footerReference w:type="default" r:id="rId11"/>
          <w:pgSz w:w="11907" w:h="16840" w:code="9"/>
          <w:pgMar w:top="1134" w:right="1134" w:bottom="851" w:left="1134" w:header="0" w:footer="720" w:gutter="0"/>
          <w:cols w:space="720"/>
          <w:titlePg/>
        </w:sectPr>
      </w:pPr>
    </w:p>
    <w:p w:rsidR="0038619B" w:rsidRDefault="002C794E">
      <w:pPr>
        <w:pStyle w:val="Style1"/>
      </w:pPr>
      <w:r>
        <w:lastRenderedPageBreak/>
        <w:t>2- PROCEDIMENT LEGISLATIU COMÚ</w:t>
      </w:r>
    </w:p>
    <w:p w:rsidR="002C794E" w:rsidRDefault="002C794E" w:rsidP="002C794E">
      <w:pPr>
        <w:pStyle w:val="Style2"/>
      </w:pPr>
      <w:r>
        <w:t>2.1 Projectes de llei</w:t>
      </w:r>
    </w:p>
    <w:p w:rsidR="008C742B" w:rsidRPr="00370195" w:rsidRDefault="008C742B" w:rsidP="008C742B">
      <w:pPr>
        <w:rPr>
          <w:szCs w:val="28"/>
        </w:rPr>
      </w:pPr>
      <w:r w:rsidRPr="00370195">
        <w:rPr>
          <w:szCs w:val="28"/>
        </w:rPr>
        <w:t>Publica</w:t>
      </w:r>
      <w:r>
        <w:rPr>
          <w:szCs w:val="28"/>
        </w:rPr>
        <w:t>ció de</w:t>
      </w:r>
      <w:r w:rsidRPr="00370195">
        <w:rPr>
          <w:szCs w:val="28"/>
        </w:rPr>
        <w:t xml:space="preserve"> l'informe de la Ponència i l’informe de la Comissió Legislativa d</w:t>
      </w:r>
      <w:r>
        <w:rPr>
          <w:szCs w:val="28"/>
        </w:rPr>
        <w:t>e Finances i Pressupost en re</w:t>
      </w:r>
      <w:r w:rsidRPr="00370195">
        <w:rPr>
          <w:szCs w:val="28"/>
        </w:rPr>
        <w:t xml:space="preserve">lació al </w:t>
      </w:r>
      <w:r w:rsidRPr="008C742B">
        <w:rPr>
          <w:rFonts w:eastAsia="Arial"/>
          <w:b/>
        </w:rPr>
        <w:t>Projecte de llei de modificació de la Llei 7/2015, del 15 de gener, del pressupost per a l’exercici del 2015 i de crèdit extraordinari i de suplement de crèdit per finançar despeses diverses de l’exercici 2015 de l’Agència Estatal de Resolució d’Entitats Bancàries</w:t>
      </w:r>
      <w:r w:rsidRPr="00370195">
        <w:rPr>
          <w:szCs w:val="28"/>
        </w:rPr>
        <w:t>.</w:t>
      </w:r>
      <w:r>
        <w:rPr>
          <w:szCs w:val="28"/>
        </w:rPr>
        <w:tab/>
      </w:r>
      <w:r w:rsidRPr="008C742B">
        <w:rPr>
          <w:i/>
          <w:szCs w:val="28"/>
        </w:rPr>
        <w:t>pàg. 2</w:t>
      </w:r>
    </w:p>
    <w:p w:rsidR="002C794E" w:rsidRPr="002C794E" w:rsidRDefault="002C794E" w:rsidP="002C794E"/>
    <w:p w:rsidR="0038619B" w:rsidRDefault="0038619B" w:rsidP="002C794E"/>
    <w:p w:rsidR="0038619B" w:rsidRDefault="0038619B" w:rsidP="002C794E"/>
    <w:p w:rsidR="0038619B" w:rsidRDefault="0038619B">
      <w:pPr>
        <w:pStyle w:val="Style3"/>
      </w:pPr>
    </w:p>
    <w:p w:rsidR="0038619B" w:rsidRDefault="0038619B">
      <w:pPr>
        <w:pStyle w:val="Style3"/>
        <w:sectPr w:rsidR="0038619B">
          <w:headerReference w:type="default" r:id="rId12"/>
          <w:type w:val="continuous"/>
          <w:pgSz w:w="11907" w:h="16840" w:code="9"/>
          <w:pgMar w:top="397" w:right="1134" w:bottom="851" w:left="1134" w:header="567" w:footer="567" w:gutter="0"/>
          <w:cols w:num="2" w:space="720"/>
        </w:sectPr>
      </w:pPr>
    </w:p>
    <w:p w:rsidR="0038619B" w:rsidRDefault="002C794E">
      <w:pPr>
        <w:pStyle w:val="titol1"/>
      </w:pPr>
      <w:r>
        <w:lastRenderedPageBreak/>
        <w:t>2- PROCEDIMENT LEGISLATIU COMÚ</w:t>
      </w:r>
    </w:p>
    <w:p w:rsidR="0038619B" w:rsidRDefault="002C794E">
      <w:pPr>
        <w:pStyle w:val="titol2"/>
      </w:pPr>
      <w:r>
        <w:t>2.1 Projectes de llei</w:t>
      </w:r>
    </w:p>
    <w:p w:rsidR="002C794E" w:rsidRPr="002C794E" w:rsidRDefault="002C794E" w:rsidP="002C794E">
      <w:pPr>
        <w:pStyle w:val="titol3"/>
      </w:pPr>
      <w:r>
        <w:t>Edicte</w:t>
      </w:r>
    </w:p>
    <w:p w:rsidR="008C742B" w:rsidRPr="00370195" w:rsidRDefault="008C742B" w:rsidP="008C742B">
      <w:r>
        <w:t>El síndic</w:t>
      </w:r>
      <w:r w:rsidRPr="00370195">
        <w:t xml:space="preserve"> general, d'acord amb les previsions de l'article 100.2 del</w:t>
      </w:r>
      <w:r>
        <w:t xml:space="preserve"> Reglament del Consell General,</w:t>
      </w:r>
    </w:p>
    <w:p w:rsidR="008C742B" w:rsidRPr="00370195" w:rsidRDefault="008C742B" w:rsidP="008C742B">
      <w:r w:rsidRPr="00370195">
        <w:t>D</w:t>
      </w:r>
      <w:r>
        <w:t>ispos</w:t>
      </w:r>
      <w:bookmarkStart w:id="5" w:name="_GoBack"/>
      <w:bookmarkEnd w:id="5"/>
      <w:r>
        <w:t>a</w:t>
      </w:r>
    </w:p>
    <w:p w:rsidR="008C742B" w:rsidRDefault="008C742B" w:rsidP="008C742B">
      <w:pPr>
        <w:pStyle w:val="PARAGRAFENDINSAT"/>
        <w:rPr>
          <w:szCs w:val="28"/>
        </w:rPr>
      </w:pPr>
      <w:r w:rsidRPr="00370195">
        <w:rPr>
          <w:szCs w:val="28"/>
        </w:rPr>
        <w:t>Publicar l'informe de la Ponència i l’informe de la Comissió Legislativa d</w:t>
      </w:r>
      <w:r>
        <w:rPr>
          <w:szCs w:val="28"/>
        </w:rPr>
        <w:t>e Finances i Pressupost en re</w:t>
      </w:r>
      <w:r w:rsidRPr="00370195">
        <w:rPr>
          <w:szCs w:val="28"/>
        </w:rPr>
        <w:t xml:space="preserve">lació al </w:t>
      </w:r>
      <w:r w:rsidRPr="00675270">
        <w:rPr>
          <w:rFonts w:eastAsia="Arial"/>
          <w:b/>
        </w:rPr>
        <w:t>Projecte de llei de modificació de la Llei 7/2015, del 15 de gener, del pressupost per a l’exercici del 2015 i de crèdit extraordinari i de suplement de crèdit per finançar despeses diverses de l’exercici 2015 de l’Agència Estatal de Resolució d’Entitats Bancàries</w:t>
      </w:r>
      <w:r w:rsidRPr="00370195">
        <w:rPr>
          <w:szCs w:val="28"/>
        </w:rPr>
        <w:t>.</w:t>
      </w:r>
    </w:p>
    <w:p w:rsidR="008C742B" w:rsidRPr="00370195" w:rsidRDefault="008C742B" w:rsidP="008C742B">
      <w:r w:rsidRPr="00370195">
        <w:t>Tot el que es fa públic per a general coneixement i efectes.</w:t>
      </w:r>
    </w:p>
    <w:p w:rsidR="008C742B" w:rsidRPr="00370195" w:rsidRDefault="008C742B" w:rsidP="008C742B">
      <w:r w:rsidRPr="00370195">
        <w:t xml:space="preserve">Casa de </w:t>
      </w:r>
      <w:smartTag w:uri="urn:schemas-microsoft-com:office:smarttags" w:element="PersonName">
        <w:smartTagPr>
          <w:attr w:name="ProductID" w:val="la Vall"/>
        </w:smartTagPr>
        <w:r w:rsidRPr="00370195">
          <w:t>la Vall</w:t>
        </w:r>
      </w:smartTag>
      <w:r w:rsidRPr="00370195">
        <w:t xml:space="preserve">, </w:t>
      </w:r>
      <w:r>
        <w:t>24 de desembre del 2015</w:t>
      </w:r>
    </w:p>
    <w:p w:rsidR="008C742B" w:rsidRDefault="008C742B" w:rsidP="008C742B">
      <w:r>
        <w:t>Vicenç Mateu Zamora</w:t>
      </w:r>
      <w:r>
        <w:tab/>
      </w:r>
      <w:r>
        <w:br/>
        <w:t>Síndic General</w:t>
      </w:r>
    </w:p>
    <w:p w:rsidR="002C794E" w:rsidRDefault="002C794E" w:rsidP="002C794E">
      <w:pPr>
        <w:pStyle w:val="nomllei"/>
      </w:pPr>
      <w:r w:rsidRPr="002C794E">
        <w:t xml:space="preserve">Informe de la ponència de la </w:t>
      </w:r>
      <w:r>
        <w:t>C</w:t>
      </w:r>
      <w:r w:rsidRPr="002C794E">
        <w:t xml:space="preserve">omissió </w:t>
      </w:r>
      <w:r>
        <w:t>L</w:t>
      </w:r>
      <w:r w:rsidRPr="002C794E">
        <w:t>egislativa</w:t>
      </w:r>
      <w:r>
        <w:t xml:space="preserve"> </w:t>
      </w:r>
      <w:r>
        <w:rPr>
          <w:szCs w:val="28"/>
        </w:rPr>
        <w:t>de Finances i Pressupost</w:t>
      </w:r>
    </w:p>
    <w:p w:rsidR="002C794E" w:rsidRDefault="002C794E" w:rsidP="002C794E">
      <w:r>
        <w:t xml:space="preserve">El </w:t>
      </w:r>
      <w:proofErr w:type="spellStart"/>
      <w:r>
        <w:t>M.I</w:t>
      </w:r>
      <w:proofErr w:type="spellEnd"/>
      <w:r>
        <w:t xml:space="preserve">. Sr. </w:t>
      </w:r>
      <w:r>
        <w:rPr>
          <w:szCs w:val="28"/>
        </w:rPr>
        <w:t>Marc Ballestà Alias</w:t>
      </w:r>
      <w:r>
        <w:t xml:space="preserve">, del Grup Parlamentari Demòcrata, nomenat ponent per la Comissió Legislativa </w:t>
      </w:r>
      <w:r>
        <w:rPr>
          <w:szCs w:val="28"/>
        </w:rPr>
        <w:t xml:space="preserve">de Finances i Pressupost </w:t>
      </w:r>
      <w:r>
        <w:t xml:space="preserve">el dia 1 de desembre del 2015, a la vista del </w:t>
      </w:r>
      <w:r>
        <w:rPr>
          <w:rFonts w:eastAsia="Arial"/>
        </w:rPr>
        <w:t>Projecte de llei de modificació de la Llei 7/2015, del 15 de gener, del pressupost per a l’exercici del 2015 i de crèdit extraordinari i de suplement de crèdit per finançar despeses diverses de l’exercici 2015 de l’Agència Estatal de Resolució d’Entitats Bancàries</w:t>
      </w:r>
      <w:r>
        <w:t>, proposa, segons el que disposa l'article 97 del Reglament del Consell General, l'informe següent:</w:t>
      </w:r>
    </w:p>
    <w:p w:rsidR="002C794E" w:rsidRDefault="002C794E" w:rsidP="002C794E">
      <w:pPr>
        <w:pStyle w:val="nomllei"/>
      </w:pPr>
      <w:r>
        <w:rPr>
          <w:rFonts w:eastAsia="Arial"/>
        </w:rPr>
        <w:lastRenderedPageBreak/>
        <w:t>Projecte de llei de modificació de la Llei 7/2015, del 15 de gener, del pressupost per a l’exercici del 2015 i de crèdit extraordinari i de suplement de crèdit per finançar despeses diverses de l’exercici 2015 de l’Agència Estatal de Resolució d’Entitats Bancàries</w:t>
      </w:r>
    </w:p>
    <w:p w:rsidR="002C794E" w:rsidRDefault="002C794E" w:rsidP="002C794E">
      <w:pPr>
        <w:pStyle w:val="Expo"/>
      </w:pPr>
      <w:r>
        <w:rPr>
          <w:rFonts w:eastAsia="Arial"/>
        </w:rPr>
        <w:t>Exposició de motius</w:t>
      </w:r>
    </w:p>
    <w:p w:rsidR="002C794E" w:rsidRDefault="002C794E" w:rsidP="002C794E">
      <w:pPr>
        <w:rPr>
          <w:rFonts w:eastAsia="Arial"/>
        </w:rPr>
      </w:pPr>
      <w:r>
        <w:rPr>
          <w:rFonts w:eastAsia="Arial"/>
        </w:rPr>
        <w:t>La Llei 8/2015, del 2 d’abril, de mesures urgents per implantar mecanismes de reestructuració i resolució d’entitats bancàries té per objecte regular els processos de reestructuració i resolució d’entitats bancàries, establir mecanismes que redueixin el risc que es produeixi un supòsit de resolució, així com crear el règim jurídic de  l’Agència Estatal de Resolució d’Entitats Bancàries (</w:t>
      </w:r>
      <w:proofErr w:type="spellStart"/>
      <w:r>
        <w:rPr>
          <w:rFonts w:eastAsia="Arial"/>
        </w:rPr>
        <w:t>AREB</w:t>
      </w:r>
      <w:proofErr w:type="spellEnd"/>
      <w:r>
        <w:rPr>
          <w:rFonts w:eastAsia="Arial"/>
        </w:rPr>
        <w:t>), amb la finalitat de protegir la confiança, la credibilitat i l’estabilitat del sistema financer.</w:t>
      </w:r>
    </w:p>
    <w:p w:rsidR="002C794E" w:rsidRDefault="002C794E" w:rsidP="002C794E">
      <w:pPr>
        <w:rPr>
          <w:rFonts w:eastAsia="Arial"/>
        </w:rPr>
      </w:pPr>
      <w:r>
        <w:rPr>
          <w:rFonts w:eastAsia="Arial"/>
        </w:rPr>
        <w:t>La naturalesa i el règim jurídic de l’Agència Estatal de Resolució d’Entitats Bancàries (</w:t>
      </w:r>
      <w:proofErr w:type="spellStart"/>
      <w:r>
        <w:rPr>
          <w:rFonts w:eastAsia="Arial"/>
        </w:rPr>
        <w:t>AREB</w:t>
      </w:r>
      <w:proofErr w:type="spellEnd"/>
      <w:r>
        <w:rPr>
          <w:rFonts w:eastAsia="Arial"/>
        </w:rPr>
        <w:t>) es regulen al capítol cinquè de la Llei 8/2015, i són els d’una entitat de dret públic amb personalitat jurídica pròpia, autonomia patrimonial i financera i plena capacitat pública i privada per al desenvolupament de les seves finalitats, principalment.</w:t>
      </w:r>
    </w:p>
    <w:p w:rsidR="002C794E" w:rsidRDefault="002C794E" w:rsidP="002C794E">
      <w:pPr>
        <w:rPr>
          <w:rFonts w:eastAsia="Arial"/>
        </w:rPr>
      </w:pPr>
      <w:r>
        <w:rPr>
          <w:rFonts w:eastAsia="Arial"/>
        </w:rPr>
        <w:t xml:space="preserve">Per cobrir les seves despeses de funcionament, </w:t>
      </w:r>
      <w:proofErr w:type="spellStart"/>
      <w:r>
        <w:rPr>
          <w:rFonts w:eastAsia="Arial"/>
        </w:rPr>
        <w:t>l’AREB</w:t>
      </w:r>
      <w:proofErr w:type="spellEnd"/>
      <w:r>
        <w:rPr>
          <w:rFonts w:eastAsia="Arial"/>
        </w:rPr>
        <w:t xml:space="preserve"> ha de disposar de consignació amb càrrec al pressupost de l’Estat. Aquesta habilitació pressupostària requereix l’aprovació anual per part del Consell d’Administració de </w:t>
      </w:r>
      <w:proofErr w:type="spellStart"/>
      <w:r>
        <w:rPr>
          <w:rFonts w:eastAsia="Arial"/>
        </w:rPr>
        <w:t>l’AREB</w:t>
      </w:r>
      <w:proofErr w:type="spellEnd"/>
      <w:r>
        <w:rPr>
          <w:rFonts w:eastAsia="Arial"/>
        </w:rPr>
        <w:t xml:space="preserve"> d’un avantprojecte de llei que ha de remetre al Govern per mitjà del ministeri encarregat de les finances. L'aprovació d’aquest avantprojecte pel Govern comporta la seva conversió en projecte de llei del pressupost general, que cal trametre al seu torn a la Sindicatura, tal com estableix la Llei general de les finances públiques.</w:t>
      </w:r>
    </w:p>
    <w:p w:rsidR="002C794E" w:rsidRDefault="002C794E" w:rsidP="002C794E">
      <w:pPr>
        <w:rPr>
          <w:rFonts w:eastAsia="Arial"/>
        </w:rPr>
      </w:pPr>
      <w:r>
        <w:rPr>
          <w:rFonts w:eastAsia="Arial"/>
        </w:rPr>
        <w:t>La constitució de l’Agència Estatal de Resolució d’Entitats Bancàries (</w:t>
      </w:r>
      <w:proofErr w:type="spellStart"/>
      <w:r>
        <w:rPr>
          <w:rFonts w:eastAsia="Arial"/>
        </w:rPr>
        <w:t>AREB</w:t>
      </w:r>
      <w:proofErr w:type="spellEnd"/>
      <w:r>
        <w:rPr>
          <w:rFonts w:eastAsia="Arial"/>
        </w:rPr>
        <w:t>) és posterior a l’aprovació del pressupost general per a l’exercici del 2015. Això fa necessari aprovar i tramitar del pressupost d’aquesta entitat mitjançant la present modificació de la Llei 7/2015, del 15 de gener, del pressupost per a l’exercici del 2015.</w:t>
      </w:r>
    </w:p>
    <w:p w:rsidR="002C794E" w:rsidRDefault="002C794E" w:rsidP="002C794E">
      <w:pPr>
        <w:rPr>
          <w:rFonts w:eastAsia="Arial"/>
        </w:rPr>
      </w:pPr>
      <w:r>
        <w:rPr>
          <w:rFonts w:eastAsia="Arial"/>
        </w:rPr>
        <w:t>En conseqüència, les modificacions de la Llei 7/2015, del 15 de gener, del pressupost per a l’exercici del 2015 que ara s’aproven són per vetllar per la integritat del pressupost general, d’acord amb els principis d’unitat i d’universalitat, principalment, que determina la Llei general de les finances públiques.</w:t>
      </w:r>
    </w:p>
    <w:p w:rsidR="002C794E" w:rsidRDefault="002C794E" w:rsidP="002C794E">
      <w:pPr>
        <w:rPr>
          <w:rFonts w:eastAsia="Arial"/>
        </w:rPr>
      </w:pPr>
      <w:r>
        <w:rPr>
          <w:rFonts w:eastAsia="Arial"/>
        </w:rPr>
        <w:lastRenderedPageBreak/>
        <w:t xml:space="preserve">Tornant a la Llei 8/2015 de constant referència, la disposició addicional tercera autoritza el Govern a fer una dotació provisional a </w:t>
      </w:r>
      <w:proofErr w:type="spellStart"/>
      <w:r>
        <w:rPr>
          <w:rFonts w:eastAsia="Arial"/>
        </w:rPr>
        <w:t>l’AREB</w:t>
      </w:r>
      <w:proofErr w:type="spellEnd"/>
      <w:r>
        <w:rPr>
          <w:rFonts w:eastAsia="Arial"/>
        </w:rPr>
        <w:t xml:space="preserve"> per un import total de 500.000 euros per atendre les necessitats de funcionament d’aquest ens públic mentre no tingui aprovat el seu pressupost. A aquest efecte, enguany el Govern ha habilitat en el pressupost de despesa el </w:t>
      </w:r>
      <w:proofErr w:type="spellStart"/>
      <w:r>
        <w:rPr>
          <w:rFonts w:eastAsia="Arial"/>
        </w:rPr>
        <w:t>subconcepte</w:t>
      </w:r>
      <w:proofErr w:type="spellEnd"/>
      <w:r>
        <w:rPr>
          <w:rFonts w:eastAsia="Arial"/>
        </w:rPr>
        <w:t xml:space="preserve"> 41119, “Agència Estatal de Resolució d’Entitats Bancàries”, i ha acordat un crèdit ampliable per l’import de 500.000 euros, d’acord amb l’article 25 de la Llei general de les finances públiques i l’article 4 de la Llei de pressupost per a l’exercici 2015.</w:t>
      </w:r>
    </w:p>
    <w:p w:rsidR="002C794E" w:rsidRDefault="002C794E" w:rsidP="002C794E">
      <w:pPr>
        <w:rPr>
          <w:rFonts w:eastAsia="Arial"/>
          <w:b/>
        </w:rPr>
      </w:pPr>
      <w:r>
        <w:rPr>
          <w:rFonts w:eastAsia="Arial"/>
        </w:rPr>
        <w:t xml:space="preserve">El pressupost per a l’exercici 2015 aprovat pel Consell d’Administració de </w:t>
      </w:r>
      <w:proofErr w:type="spellStart"/>
      <w:r>
        <w:rPr>
          <w:rFonts w:eastAsia="Arial"/>
        </w:rPr>
        <w:t>l’AREB</w:t>
      </w:r>
      <w:proofErr w:type="spellEnd"/>
      <w:r>
        <w:rPr>
          <w:rFonts w:eastAsia="Arial"/>
        </w:rPr>
        <w:t xml:space="preserve"> presenta un estat de despeses que comprèn dos projectes diferenciats que es detallen a continuació i que necessiten finançament addicional per part del Govern per un import de 20.222.890,16 euros.</w:t>
      </w:r>
    </w:p>
    <w:p w:rsidR="002C794E" w:rsidRDefault="002C794E" w:rsidP="002C794E">
      <w:pPr>
        <w:rPr>
          <w:rFonts w:eastAsia="Arial"/>
        </w:rPr>
      </w:pPr>
      <w:r>
        <w:rPr>
          <w:rFonts w:eastAsia="Arial"/>
        </w:rPr>
        <w:t>D’una banda, el projecte denominat “</w:t>
      </w:r>
      <w:r>
        <w:rPr>
          <w:rFonts w:eastAsia="Arial"/>
          <w:sz w:val="20"/>
        </w:rPr>
        <w:t xml:space="preserve">PROJ0001 SERVEIS GENERALS </w:t>
      </w:r>
      <w:proofErr w:type="spellStart"/>
      <w:r>
        <w:rPr>
          <w:rFonts w:eastAsia="Arial"/>
          <w:sz w:val="20"/>
        </w:rPr>
        <w:t>AREB</w:t>
      </w:r>
      <w:proofErr w:type="spellEnd"/>
      <w:r>
        <w:rPr>
          <w:rFonts w:eastAsia="Arial"/>
        </w:rPr>
        <w:t>” correspon a les despeses de funcionament pròpies de l’ens i ascendeix a 700.514,06 euros. Aquestes despeses són de la naturalesa següent: 20.155,10 euros són en concepte d’inversió real; la resta, d’un import de 680.358,96 euros, són en concepte de despeses corrents i comprenen 268.309,25 euros de despeses de personal, 409.949,71 euros de despeses de consum de béns corrents i de serveis, i 2.100 euros de despeses financeres.</w:t>
      </w:r>
    </w:p>
    <w:p w:rsidR="002C794E" w:rsidRDefault="002C794E" w:rsidP="002C794E">
      <w:pPr>
        <w:rPr>
          <w:rFonts w:eastAsia="Arial"/>
          <w:b/>
        </w:rPr>
      </w:pPr>
      <w:r>
        <w:rPr>
          <w:rFonts w:eastAsia="Arial"/>
        </w:rPr>
        <w:t>I de l’altra, el projecte denominat “</w:t>
      </w:r>
      <w:r>
        <w:rPr>
          <w:rFonts w:eastAsia="Arial"/>
          <w:sz w:val="20"/>
        </w:rPr>
        <w:t xml:space="preserve">PROJ0002 RESOLUCIÓ </w:t>
      </w:r>
      <w:proofErr w:type="spellStart"/>
      <w:r>
        <w:rPr>
          <w:rFonts w:eastAsia="Arial"/>
          <w:sz w:val="20"/>
        </w:rPr>
        <w:t>BPA</w:t>
      </w:r>
      <w:proofErr w:type="spellEnd"/>
      <w:r>
        <w:rPr>
          <w:rFonts w:eastAsia="Arial"/>
        </w:rPr>
        <w:t>” correspon a les despeses derivades del procés de resolució de l’entitat Banca Privada d’Andorra, SA, d’un import total de 20.022.376,10 euros. Aquestes despeses són en concepte de “Treballs realitzats per empreses, estudis i treballs tècnics”, per 19.963.532,65 euros, i en concepte d’inversió real per un import de 58.843,45 euros.</w:t>
      </w:r>
    </w:p>
    <w:p w:rsidR="002C794E" w:rsidRDefault="002C794E" w:rsidP="002C794E">
      <w:pPr>
        <w:rPr>
          <w:rFonts w:eastAsia="Arial"/>
        </w:rPr>
      </w:pPr>
      <w:r>
        <w:rPr>
          <w:color w:val="000000"/>
          <w:lang w:eastAsia="ca-ES"/>
        </w:rPr>
        <w:t xml:space="preserve">El Govern no disposa de crèdits suficients al </w:t>
      </w:r>
      <w:proofErr w:type="spellStart"/>
      <w:r>
        <w:rPr>
          <w:rFonts w:eastAsia="Arial"/>
        </w:rPr>
        <w:t>subconcepte</w:t>
      </w:r>
      <w:proofErr w:type="spellEnd"/>
      <w:r>
        <w:rPr>
          <w:rFonts w:eastAsia="Arial"/>
        </w:rPr>
        <w:t xml:space="preserve"> 41119, “Agència Estatal de Resolució d’Entitats Bancàries”, que va habilitar d’acord amb la disposició addicional tercera de la Llei 8/2015 per fer front a la totalitat de les despeses corrents. Els crèdits necessaris per suplementar la partida esmentada </w:t>
      </w:r>
      <w:r>
        <w:t>-</w:t>
      </w:r>
      <w:r>
        <w:rPr>
          <w:rFonts w:eastAsia="Arial"/>
        </w:rPr>
        <w:t>que han motivat l’aprovació d’un suplement de crèdit per part del Govern- es xifren en 180.358,96 euros i resulten de la diferència entre l’import de la dotació provisional (500.000 euros) i l’import estimat de les despeses corrents del projecte denominat “</w:t>
      </w:r>
      <w:r>
        <w:rPr>
          <w:rFonts w:eastAsia="Arial"/>
          <w:sz w:val="20"/>
        </w:rPr>
        <w:t>PROJ0001 SERVEIS GENERALS</w:t>
      </w:r>
      <w:r>
        <w:rPr>
          <w:rFonts w:eastAsia="Arial"/>
          <w:b/>
          <w:sz w:val="20"/>
        </w:rPr>
        <w:t xml:space="preserve"> </w:t>
      </w:r>
      <w:proofErr w:type="spellStart"/>
      <w:r>
        <w:rPr>
          <w:rFonts w:eastAsia="Arial"/>
          <w:sz w:val="20"/>
        </w:rPr>
        <w:t>AREB</w:t>
      </w:r>
      <w:proofErr w:type="spellEnd"/>
      <w:r>
        <w:rPr>
          <w:rFonts w:eastAsia="Arial"/>
        </w:rPr>
        <w:t>” del pressupost d’aquest ens públic (680.358,96 euros).</w:t>
      </w:r>
    </w:p>
    <w:p w:rsidR="002C794E" w:rsidRDefault="002C794E" w:rsidP="002C794E">
      <w:pPr>
        <w:rPr>
          <w:rFonts w:eastAsia="Arial"/>
        </w:rPr>
      </w:pPr>
      <w:r>
        <w:rPr>
          <w:rFonts w:eastAsia="Arial"/>
        </w:rPr>
        <w:t xml:space="preserve">El Govern no disposa dels crèdits per fer front a la transferència de capital i al préstec a </w:t>
      </w:r>
      <w:proofErr w:type="spellStart"/>
      <w:r>
        <w:rPr>
          <w:rFonts w:eastAsia="Arial"/>
        </w:rPr>
        <w:t>l’AREB</w:t>
      </w:r>
      <w:proofErr w:type="spellEnd"/>
      <w:r>
        <w:rPr>
          <w:rFonts w:eastAsia="Arial"/>
        </w:rPr>
        <w:t xml:space="preserve"> per un </w:t>
      </w:r>
      <w:r>
        <w:rPr>
          <w:rFonts w:eastAsia="Arial"/>
        </w:rPr>
        <w:lastRenderedPageBreak/>
        <w:t>import de 20.155,10 euros i de 20.022.376,10 euros, respectivament, en el pressupost de l’exercici 2015. Per aquest motiu, ha aprovat un crèdit extraordinari per poder fer-hi front.</w:t>
      </w:r>
    </w:p>
    <w:p w:rsidR="002C794E" w:rsidRDefault="002C794E" w:rsidP="002C794E">
      <w:pPr>
        <w:rPr>
          <w:color w:val="000000"/>
        </w:rPr>
      </w:pPr>
      <w:r>
        <w:rPr>
          <w:rFonts w:eastAsia="Arial"/>
        </w:rPr>
        <w:t xml:space="preserve">Es fa avinent que 1.500.000 euros de l’import del crèdit extraordinari en concepte de préstec a </w:t>
      </w:r>
      <w:proofErr w:type="spellStart"/>
      <w:r>
        <w:rPr>
          <w:rFonts w:eastAsia="Arial"/>
        </w:rPr>
        <w:t>l’AREB</w:t>
      </w:r>
      <w:proofErr w:type="spellEnd"/>
      <w:r>
        <w:rPr>
          <w:rFonts w:eastAsia="Arial"/>
        </w:rPr>
        <w:t xml:space="preserve"> correspon a la ratificació de l’avenç de fons que el Govern ha aprovat en la mateixa data del 21 d’octubre del 2015, a l’efecte que el Govern pugui fer efectiu aquest import a </w:t>
      </w:r>
      <w:proofErr w:type="spellStart"/>
      <w:r>
        <w:rPr>
          <w:rFonts w:eastAsia="Arial"/>
        </w:rPr>
        <w:t>l’AREB</w:t>
      </w:r>
      <w:proofErr w:type="spellEnd"/>
      <w:r>
        <w:rPr>
          <w:rFonts w:eastAsia="Arial"/>
        </w:rPr>
        <w:t xml:space="preserve"> perquè aquest ens públic pugui al seu torn fer front a </w:t>
      </w:r>
      <w:r>
        <w:rPr>
          <w:color w:val="000000"/>
        </w:rPr>
        <w:t xml:space="preserve">part de les </w:t>
      </w:r>
      <w:r>
        <w:rPr>
          <w:rFonts w:eastAsia="Arial"/>
        </w:rPr>
        <w:t xml:space="preserve">despeses derivades del procés de resolució de l’entitat Banca Privada d’Andorra, SA. </w:t>
      </w:r>
    </w:p>
    <w:p w:rsidR="002C794E" w:rsidRDefault="002C794E" w:rsidP="002C794E">
      <w:pPr>
        <w:rPr>
          <w:rFonts w:eastAsia="Arial"/>
        </w:rPr>
      </w:pPr>
      <w:r>
        <w:rPr>
          <w:rFonts w:eastAsia="Arial"/>
        </w:rPr>
        <w:t xml:space="preserve">La urgència i la necessitat d’aquestes despeses queden justificades, d’una banda, pel que fa al préstec destinat a finançar les despeses derivades del procés de resolució de l’entitat Banca Privada d’Andorra, SA, pel fet d’acomplir les obligacions contractuals en concepte de treballs realitzats per empreses, estudis i treballs tècnics, principalment i per regularitzar la situació pressupostària d’aquestes obligacions contractuals, d’acord amb la Llei general de les finances públiques i la normativa concordant; i de l’altra, quant a la transferència corrent i a la transferència de capital destinades a finançar les despeses de funcionament pròpies de l’ens públic, perquè </w:t>
      </w:r>
      <w:proofErr w:type="spellStart"/>
      <w:r>
        <w:rPr>
          <w:rFonts w:eastAsia="Arial"/>
        </w:rPr>
        <w:t>l’AREB</w:t>
      </w:r>
      <w:proofErr w:type="spellEnd"/>
      <w:r>
        <w:rPr>
          <w:rFonts w:eastAsia="Arial"/>
        </w:rPr>
        <w:t xml:space="preserve"> pugui assumir i exercir correctament les seves competències i per al seu bon funcionament.</w:t>
      </w:r>
    </w:p>
    <w:p w:rsidR="002C794E" w:rsidRDefault="002C794E" w:rsidP="002C794E">
      <w:r>
        <w:rPr>
          <w:lang w:eastAsia="ca-ES"/>
        </w:rPr>
        <w:t xml:space="preserve">Vist que el Govern, per acord del 21 d’octubre del 2015, ha aprovat un avenç de fons per un import total d’1.500.000 euros </w:t>
      </w:r>
      <w:r>
        <w:t xml:space="preserve">per fer front a un préstec a </w:t>
      </w:r>
      <w:proofErr w:type="spellStart"/>
      <w:r>
        <w:t>l’AREB</w:t>
      </w:r>
      <w:proofErr w:type="spellEnd"/>
      <w:r>
        <w:t xml:space="preserve"> destinat a finançar part de les despeses derivades del procés de resolució de l’entitat Banca Privada d’Andorra, SA;</w:t>
      </w:r>
    </w:p>
    <w:p w:rsidR="002C794E" w:rsidRDefault="002C794E" w:rsidP="002C794E">
      <w:r>
        <w:t>Vist l’informe de la Intervenció General;</w:t>
      </w:r>
    </w:p>
    <w:p w:rsidR="002C794E" w:rsidRDefault="002C794E" w:rsidP="002C794E">
      <w:r>
        <w:t xml:space="preserve">Vist l’acord del Consell d’Administració de </w:t>
      </w:r>
      <w:r>
        <w:rPr>
          <w:rFonts w:eastAsia="Arial"/>
        </w:rPr>
        <w:t>l’Agència Estatal de Resolució d’Entitats Bancàries</w:t>
      </w:r>
      <w:r>
        <w:t xml:space="preserve"> del</w:t>
      </w:r>
      <w:r>
        <w:rPr>
          <w:lang w:eastAsia="ca-ES"/>
        </w:rPr>
        <w:t xml:space="preserve"> 27 d’agost del 2015</w:t>
      </w:r>
      <w:r>
        <w:t>;</w:t>
      </w:r>
    </w:p>
    <w:p w:rsidR="002C794E" w:rsidRDefault="002C794E" w:rsidP="002C794E">
      <w:r>
        <w:t xml:space="preserve">Vist l’acord del Consell d’Administració de </w:t>
      </w:r>
      <w:r>
        <w:rPr>
          <w:rFonts w:eastAsia="Arial"/>
        </w:rPr>
        <w:t>l’Agència Estatal de Resolució d’Entitats Bancàries</w:t>
      </w:r>
      <w:r>
        <w:t xml:space="preserve"> del</w:t>
      </w:r>
      <w:r>
        <w:rPr>
          <w:lang w:eastAsia="ca-ES"/>
        </w:rPr>
        <w:t xml:space="preserve"> 8 d’octubre del 2015</w:t>
      </w:r>
      <w:r>
        <w:t>;</w:t>
      </w:r>
    </w:p>
    <w:p w:rsidR="002C794E" w:rsidRDefault="002C794E" w:rsidP="002C794E">
      <w:r>
        <w:t>Vist l’acord de Govern del 21 d’octubre del 2015;</w:t>
      </w:r>
    </w:p>
    <w:p w:rsidR="002C794E" w:rsidRDefault="002C794E" w:rsidP="002C794E">
      <w:pPr>
        <w:pStyle w:val="esmenan"/>
      </w:pPr>
      <w:r>
        <w:t>Esmena 1</w:t>
      </w:r>
      <w:r>
        <w:tab/>
        <w:t>De modificació</w:t>
      </w:r>
    </w:p>
    <w:p w:rsidR="002C794E" w:rsidRDefault="002C794E" w:rsidP="002C794E">
      <w:pPr>
        <w:pStyle w:val="normalCursiva"/>
      </w:pPr>
      <w:r>
        <w:t>Grup Parlamentari Mixt – PS</w:t>
      </w:r>
    </w:p>
    <w:p w:rsidR="002C794E" w:rsidRDefault="002C794E" w:rsidP="002C794E">
      <w:pPr>
        <w:pStyle w:val="normal1"/>
      </w:pPr>
      <w:r>
        <w:t>Es modifica l’exposició de motius amb el següent redactat:</w:t>
      </w:r>
    </w:p>
    <w:p w:rsidR="002C794E" w:rsidRDefault="002C794E" w:rsidP="002C794E">
      <w:pPr>
        <w:pStyle w:val="normal1"/>
      </w:pPr>
      <w:r>
        <w:t xml:space="preserve">“Exposició de motius </w:t>
      </w:r>
    </w:p>
    <w:p w:rsidR="002C794E" w:rsidRDefault="002C794E" w:rsidP="002C794E">
      <w:pPr>
        <w:pStyle w:val="normal1"/>
        <w:rPr>
          <w:rFonts w:ascii="Garamond" w:hAnsi="Garamond"/>
          <w:sz w:val="28"/>
        </w:rPr>
      </w:pPr>
      <w:r>
        <w:t xml:space="preserve">La Llei 8/2015, del 2 d’abril, de mesures urgents per implantar mecanismes de reestructuració i resolució d’entitats bancàries té per objecte regular els processos de reestructuració i resolució </w:t>
      </w:r>
      <w:r>
        <w:lastRenderedPageBreak/>
        <w:t>d’entitats bancàries, establir mecanismes que redueixin el risc que es produeixi un supòsit de resolució, així com crear el règim jurídic de l’Agència Estatal de Resolució d’Entitats Bancàries (</w:t>
      </w:r>
      <w:proofErr w:type="spellStart"/>
      <w:r>
        <w:t>AREB</w:t>
      </w:r>
      <w:proofErr w:type="spellEnd"/>
      <w:r>
        <w:t xml:space="preserve">), amb la finalitat de protegir la confiança, la credibilitat i l’estabilitat del sistema financer. </w:t>
      </w:r>
    </w:p>
    <w:p w:rsidR="002C794E" w:rsidRDefault="002C794E" w:rsidP="002C794E">
      <w:pPr>
        <w:pStyle w:val="normal1"/>
      </w:pPr>
      <w:r>
        <w:t>La naturalesa i el règim jurídic de l’Agència Estatal de Resolució d’Entitats Bancàries (</w:t>
      </w:r>
      <w:proofErr w:type="spellStart"/>
      <w:r>
        <w:t>AREB</w:t>
      </w:r>
      <w:proofErr w:type="spellEnd"/>
      <w:r>
        <w:t xml:space="preserve">) es regulen al capítol cinquè de la Llei 8/2015, i són els d’una entitat de dret públic amb personalitat jurídica pròpia, autonomia patrimonial i financera i plena capacitat pública i privada per al desenvolupament de les seves finalitats, principalment. </w:t>
      </w:r>
    </w:p>
    <w:p w:rsidR="002C794E" w:rsidRDefault="002C794E" w:rsidP="002C794E">
      <w:pPr>
        <w:pStyle w:val="normal1"/>
      </w:pPr>
      <w:r>
        <w:t xml:space="preserve">Per cobrir les seves despeses de funcionament, </w:t>
      </w:r>
      <w:proofErr w:type="spellStart"/>
      <w:r>
        <w:t>l’AREB</w:t>
      </w:r>
      <w:proofErr w:type="spellEnd"/>
      <w:r>
        <w:t xml:space="preserve"> ha de disposar de consignació amb càrrec al pressupost de l’Estat. Aquesta habilitació pressupostària requereix l’aprovació anual per part del Consell d’Administració de </w:t>
      </w:r>
      <w:proofErr w:type="spellStart"/>
      <w:r>
        <w:t>l’AREB</w:t>
      </w:r>
      <w:proofErr w:type="spellEnd"/>
      <w:r>
        <w:t xml:space="preserve"> d’un avantprojecte de llei que ha de remetre al Govern per mitjà del ministeri encarregat de les finances. L'aprovació d’aquest avantprojecte pel Govern comporta la seva conversió en projecte de llei del pressupost general, que cal trametre al seu torn a la Sindicatura, tal com estableix la Llei general de les finances públiques. </w:t>
      </w:r>
    </w:p>
    <w:p w:rsidR="002C794E" w:rsidRDefault="002C794E" w:rsidP="002C794E">
      <w:pPr>
        <w:pStyle w:val="normal1"/>
      </w:pPr>
      <w:r>
        <w:t>La constitució de l’Agència Estatal de Resolució d’Entitats Bancàries (</w:t>
      </w:r>
      <w:proofErr w:type="spellStart"/>
      <w:r>
        <w:t>AREB</w:t>
      </w:r>
      <w:proofErr w:type="spellEnd"/>
      <w:r>
        <w:t xml:space="preserve">) és posterior a l’aprovació del pressupost general per a l’exercici del 2015. Això fa necessari aprovar i tramitar del pressupost d’aquesta entitat mitjançant la present modificació de la Llei 7/2015, del 15 de gener, del pressupost per a l’exercici del 2015. </w:t>
      </w:r>
    </w:p>
    <w:p w:rsidR="002C794E" w:rsidRDefault="002C794E" w:rsidP="002C794E">
      <w:pPr>
        <w:pStyle w:val="normal1"/>
      </w:pPr>
      <w:r>
        <w:t xml:space="preserve">En conseqüència, les modificacions de la Llei 7/2015, del 15 de gener, del pressupost per a l’exercici del 2015 que ara s’aproven són per vetllar per la integritat del pressupost general, d’acord amb els principis d’unitat i d’universalitat, principalment, que determina la Llei general de les finances públiques. </w:t>
      </w:r>
    </w:p>
    <w:p w:rsidR="002C794E" w:rsidRDefault="002C794E" w:rsidP="002C794E">
      <w:pPr>
        <w:pStyle w:val="normal1"/>
      </w:pPr>
      <w:r>
        <w:t xml:space="preserve">Tornant a la Llei 8/2015 de constant referència, la disposició addicional tercera autoritza el Govern a fer una dotació provisional a </w:t>
      </w:r>
      <w:proofErr w:type="spellStart"/>
      <w:r>
        <w:t>l’AREB</w:t>
      </w:r>
      <w:proofErr w:type="spellEnd"/>
      <w:r>
        <w:t xml:space="preserve"> per un import total de 500.000 euros per atendre les necessitats de funcionament d’aquest ens públic mentre no tingui aprovat el seu pressupost. A aquest efecte, enguany el Govern ha habilitat en el pressupost de despesa el </w:t>
      </w:r>
      <w:proofErr w:type="spellStart"/>
      <w:r>
        <w:t>subconcepte</w:t>
      </w:r>
      <w:proofErr w:type="spellEnd"/>
      <w:r>
        <w:t xml:space="preserve"> 41119, “Agència Estatal de Resolució d’Entitats Bancàries”, i ha acordat un crèdit ampliable per l’import de 500.000 euros, d’acord amb l’article 25 de la Llei general de les finances públiques i l’article 4 de la Llei de pressupost per a l’exercici 2015. </w:t>
      </w:r>
    </w:p>
    <w:p w:rsidR="002C794E" w:rsidRDefault="002C794E" w:rsidP="002C794E">
      <w:pPr>
        <w:pStyle w:val="normal1"/>
      </w:pPr>
      <w:r>
        <w:lastRenderedPageBreak/>
        <w:t xml:space="preserve">El Govern no disposa de crèdits suficients al </w:t>
      </w:r>
      <w:proofErr w:type="spellStart"/>
      <w:r>
        <w:t>subconcepte</w:t>
      </w:r>
      <w:proofErr w:type="spellEnd"/>
      <w:r>
        <w:t xml:space="preserve"> 41119, “Agència Estatal de Resolució d’Entitats Bancàries”, que va habilitar d’acord amb la disposició addicional tercera de la Llei 8/2015 per fer front a la totalitat de les despeses corrents. Els crèdits necessaris per suplementar la partida esmentada -que han motivat l’aprovació d’un suplement de crèdit per part del Govern- es xifren en 180.358,96 euros i resulten de la diferència entre l’import de la dotació provisional (500.000 euros) i l’import estimat de les despeses corrents del projecte denominat “PROJ0001 SERVEIS GENERALS </w:t>
      </w:r>
      <w:proofErr w:type="spellStart"/>
      <w:r>
        <w:t>AREB</w:t>
      </w:r>
      <w:proofErr w:type="spellEnd"/>
      <w:r>
        <w:t xml:space="preserve">” del pressupost d’aquest ens públic (680.358,96 euros). </w:t>
      </w:r>
    </w:p>
    <w:p w:rsidR="002C794E" w:rsidRDefault="002C794E" w:rsidP="002C794E">
      <w:pPr>
        <w:pStyle w:val="normal1"/>
      </w:pPr>
      <w:r>
        <w:t xml:space="preserve">El Govern no disposa dels crèdits per fer front a la transferència de capital i al préstec a </w:t>
      </w:r>
      <w:proofErr w:type="spellStart"/>
      <w:r>
        <w:t>l’AREB</w:t>
      </w:r>
      <w:proofErr w:type="spellEnd"/>
      <w:r>
        <w:t xml:space="preserve"> per un import de 20.155,10 euros i de 20.022.376,10 euros, respectivament, en el pressupost de l’exercici 2015. Per aquest motiu, ha aprovat un crèdit extraordinari per poder fer-hi front. </w:t>
      </w:r>
    </w:p>
    <w:p w:rsidR="002C794E" w:rsidRDefault="002C794E" w:rsidP="002C794E">
      <w:pPr>
        <w:pStyle w:val="normal1"/>
      </w:pPr>
      <w:r>
        <w:t xml:space="preserve">Es fa avinent que 1.500.000 euros de l’import del crèdit extraordinari en concepte de préstec a </w:t>
      </w:r>
      <w:proofErr w:type="spellStart"/>
      <w:r>
        <w:t>l’AREB</w:t>
      </w:r>
      <w:proofErr w:type="spellEnd"/>
      <w:r>
        <w:t xml:space="preserve"> correspon a la ratificació de l’avenç de fons que el Govern ha aprovat en la mateixa data del 21 d’octubre del 2015, a l’efecte que el Govern pugui fer efectiu aquest import a </w:t>
      </w:r>
      <w:proofErr w:type="spellStart"/>
      <w:r>
        <w:t>l’AREB</w:t>
      </w:r>
      <w:proofErr w:type="spellEnd"/>
      <w:r>
        <w:t xml:space="preserve"> perquè aquest ens públic pugui al seu torn fer front a part de les despeses derivades del procés de resolució de l’entitat Banca Privada d’Andorra, SA. </w:t>
      </w:r>
    </w:p>
    <w:p w:rsidR="002C794E" w:rsidRDefault="002C794E" w:rsidP="002C794E">
      <w:pPr>
        <w:pStyle w:val="normal1"/>
      </w:pPr>
      <w:r>
        <w:t xml:space="preserve">La urgència i la necessitat d’aquestes despeses queden justificades, d’una banda, pel que fa al préstec destinat a finançar les despeses derivades del procés de resolució de l’entitat Banca Privada d’Andorra, SA, pel fet d’acomplir les obligacions contractuals en concepte de treballs realitzats per empreses, estudis i treballs tècnics, principalment i per regularitzar la situació pressupostària d’aquestes obligacions contractuals, d’acord amb la Llei general de les finances públiques i la normativa concordant; i de l’altra, quant a la transferència corrent i a la transferència de capital destinades a finançar les despeses de funcionament pròpies de l’ens públic, perquè </w:t>
      </w:r>
      <w:proofErr w:type="spellStart"/>
      <w:r>
        <w:t>l’AREB</w:t>
      </w:r>
      <w:proofErr w:type="spellEnd"/>
      <w:r>
        <w:t xml:space="preserve"> pugui assumir i exercir correctament les seves competències i per al seu bon funcionament. </w:t>
      </w:r>
    </w:p>
    <w:p w:rsidR="002C794E" w:rsidRDefault="002C794E" w:rsidP="002C794E">
      <w:pPr>
        <w:pStyle w:val="normal1"/>
      </w:pPr>
      <w:r>
        <w:t xml:space="preserve">Vist que el Govern, per acord del 21 d’octubre del 2015, ha aprovat un avenç de fons per un import total d’1.500.000 euros per fer front a un préstec a </w:t>
      </w:r>
      <w:proofErr w:type="spellStart"/>
      <w:r>
        <w:t>l’AREB</w:t>
      </w:r>
      <w:proofErr w:type="spellEnd"/>
      <w:r>
        <w:t xml:space="preserve"> destinat a finançar part de les despeses derivades del procés de resolució de l’entitat Banca Privada d’Andorra, SA; </w:t>
      </w:r>
    </w:p>
    <w:p w:rsidR="002C794E" w:rsidRDefault="002C794E" w:rsidP="002C794E">
      <w:pPr>
        <w:pStyle w:val="normal1"/>
      </w:pPr>
      <w:r>
        <w:lastRenderedPageBreak/>
        <w:t xml:space="preserve">Vist l’informe de la Intervenció General; </w:t>
      </w:r>
    </w:p>
    <w:p w:rsidR="002C794E" w:rsidRDefault="002C794E" w:rsidP="002C794E">
      <w:pPr>
        <w:pStyle w:val="normal1"/>
      </w:pPr>
      <w:r>
        <w:t xml:space="preserve">Vist l’acord del Consell d’Administració de l’Agència Estatal de Resolució d’Entitats Bancàries del 27 d’agost del 2015; </w:t>
      </w:r>
    </w:p>
    <w:p w:rsidR="002C794E" w:rsidRDefault="002C794E" w:rsidP="002C794E">
      <w:pPr>
        <w:pStyle w:val="normal1"/>
      </w:pPr>
      <w:r>
        <w:t xml:space="preserve">Vist l’acord del Consell d’Administració de l’Agència Estatal de Resolució d’Entitats Bancàries del 8 d’octubre del 2015; </w:t>
      </w:r>
    </w:p>
    <w:p w:rsidR="002C794E" w:rsidRDefault="002C794E" w:rsidP="002C794E">
      <w:pPr>
        <w:pStyle w:val="normal1"/>
      </w:pPr>
      <w:r>
        <w:t>Vist l’acord de Govern del 21 d’octubre del 2015;”</w:t>
      </w:r>
    </w:p>
    <w:p w:rsidR="002C794E" w:rsidRPr="002C794E" w:rsidRDefault="002C794E" w:rsidP="002C794E">
      <w:pPr>
        <w:pStyle w:val="normal1"/>
        <w:rPr>
          <w:u w:val="single"/>
        </w:rPr>
      </w:pPr>
      <w:r w:rsidRPr="002C794E">
        <w:rPr>
          <w:u w:val="single"/>
        </w:rPr>
        <w:t>Motivació</w:t>
      </w:r>
    </w:p>
    <w:p w:rsidR="002C794E" w:rsidRDefault="002C794E" w:rsidP="002C794E">
      <w:pPr>
        <w:pStyle w:val="normal1"/>
      </w:pPr>
      <w:r>
        <w:rPr>
          <w:rFonts w:cs="Arial"/>
          <w:szCs w:val="28"/>
        </w:rPr>
        <w:t>Per coherència amb les esmenes proposades, s’eliminen els paràgrafs 7, 8 i 9 de l’exposició de motius.</w:t>
      </w:r>
    </w:p>
    <w:p w:rsidR="002C794E" w:rsidRDefault="002C794E" w:rsidP="002C794E">
      <w:pPr>
        <w:pStyle w:val="article"/>
        <w:rPr>
          <w:rFonts w:eastAsia="Arial"/>
          <w:i/>
        </w:rPr>
      </w:pPr>
      <w:r>
        <w:rPr>
          <w:rFonts w:eastAsia="Arial"/>
        </w:rPr>
        <w:t xml:space="preserve">Article 1. </w:t>
      </w:r>
      <w:r>
        <w:rPr>
          <w:rFonts w:eastAsia="Arial"/>
          <w:i/>
        </w:rPr>
        <w:t>Modificació de l’apartat 1 de l’article 1</w:t>
      </w:r>
    </w:p>
    <w:p w:rsidR="002C794E" w:rsidRDefault="002C794E" w:rsidP="002C794E">
      <w:r>
        <w:rPr>
          <w:rFonts w:eastAsia="Arial"/>
        </w:rPr>
        <w:t>Es modifica l’apartat 1 de l’article 1 de la Llei 7/2015, del 15 de gener, del pressupost per a l’exercici del 2015, que queda redactat com segueix:</w:t>
      </w:r>
      <w:r>
        <w:t xml:space="preserve"> </w:t>
      </w:r>
    </w:p>
    <w:p w:rsidR="002C794E" w:rsidRDefault="002C794E" w:rsidP="002C794E">
      <w:pPr>
        <w:rPr>
          <w:i/>
          <w:lang w:eastAsia="ca-ES"/>
        </w:rPr>
      </w:pPr>
      <w:r>
        <w:rPr>
          <w:rFonts w:eastAsia="Arial"/>
        </w:rPr>
        <w:t>“</w:t>
      </w:r>
      <w:r>
        <w:rPr>
          <w:lang w:eastAsia="ca-ES"/>
        </w:rPr>
        <w:t xml:space="preserve">Article 1. </w:t>
      </w:r>
      <w:r>
        <w:rPr>
          <w:i/>
          <w:lang w:eastAsia="ca-ES"/>
        </w:rPr>
        <w:t>Àmbit del pressupost de l’Estat i rang de la Llei</w:t>
      </w:r>
    </w:p>
    <w:p w:rsidR="002C794E" w:rsidRDefault="002C794E" w:rsidP="002C794E">
      <w:pPr>
        <w:rPr>
          <w:lang w:eastAsia="ca-ES"/>
        </w:rPr>
      </w:pPr>
      <w:r>
        <w:rPr>
          <w:lang w:eastAsia="ca-ES"/>
        </w:rPr>
        <w:t>1. En el pressupost de l’Estat per a l’exercici 2015 s’hi integren:</w:t>
      </w:r>
    </w:p>
    <w:p w:rsidR="002C794E" w:rsidRDefault="002C794E" w:rsidP="002C794E">
      <w:pPr>
        <w:rPr>
          <w:lang w:eastAsia="ca-ES"/>
        </w:rPr>
      </w:pPr>
      <w:r>
        <w:rPr>
          <w:lang w:eastAsia="ca-ES"/>
        </w:rPr>
        <w:t>a) El pressupost de l’Administració general.</w:t>
      </w:r>
    </w:p>
    <w:p w:rsidR="002C794E" w:rsidRDefault="002C794E" w:rsidP="002C794E">
      <w:pPr>
        <w:rPr>
          <w:lang w:eastAsia="ca-ES"/>
        </w:rPr>
      </w:pPr>
      <w:r>
        <w:rPr>
          <w:lang w:eastAsia="ca-ES"/>
        </w:rPr>
        <w:t>b) Els pressupostos de les entitats parapúbliques, de dret públic i altres organismes:</w:t>
      </w:r>
    </w:p>
    <w:p w:rsidR="002C794E" w:rsidRDefault="002C794E" w:rsidP="002C794E">
      <w:pPr>
        <w:rPr>
          <w:lang w:eastAsia="ca-ES"/>
        </w:rPr>
      </w:pPr>
      <w:r>
        <w:rPr>
          <w:lang w:eastAsia="ca-ES"/>
        </w:rPr>
        <w:t>- Caixa Andorrana de Seguretat Social</w:t>
      </w:r>
    </w:p>
    <w:p w:rsidR="002C794E" w:rsidRDefault="002C794E" w:rsidP="002C794E">
      <w:pPr>
        <w:rPr>
          <w:lang w:eastAsia="ca-ES"/>
        </w:rPr>
      </w:pPr>
      <w:r>
        <w:rPr>
          <w:lang w:eastAsia="ca-ES"/>
        </w:rPr>
        <w:t>- Institut Nacional Andorrà de Finances</w:t>
      </w:r>
    </w:p>
    <w:p w:rsidR="002C794E" w:rsidRDefault="002C794E" w:rsidP="002C794E">
      <w:pPr>
        <w:rPr>
          <w:lang w:eastAsia="ca-ES"/>
        </w:rPr>
      </w:pPr>
      <w:r>
        <w:rPr>
          <w:lang w:eastAsia="ca-ES"/>
        </w:rPr>
        <w:t>- Servei Andorrà d’Atenció Sanitària</w:t>
      </w:r>
    </w:p>
    <w:p w:rsidR="002C794E" w:rsidRDefault="002C794E" w:rsidP="002C794E">
      <w:pPr>
        <w:rPr>
          <w:lang w:eastAsia="ca-ES"/>
        </w:rPr>
      </w:pPr>
      <w:r>
        <w:rPr>
          <w:lang w:eastAsia="ca-ES"/>
        </w:rPr>
        <w:t>- Forces Elèctriques d’Andorra</w:t>
      </w:r>
    </w:p>
    <w:p w:rsidR="002C794E" w:rsidRDefault="002C794E" w:rsidP="002C794E">
      <w:pPr>
        <w:rPr>
          <w:lang w:eastAsia="ca-ES"/>
        </w:rPr>
      </w:pPr>
      <w:r>
        <w:rPr>
          <w:lang w:eastAsia="ca-ES"/>
        </w:rPr>
        <w:t>- Escola de Formació de Professions Esportives i de Muntanya</w:t>
      </w:r>
    </w:p>
    <w:p w:rsidR="002C794E" w:rsidRDefault="002C794E" w:rsidP="002C794E">
      <w:pPr>
        <w:rPr>
          <w:lang w:eastAsia="ca-ES"/>
        </w:rPr>
      </w:pPr>
      <w:r>
        <w:rPr>
          <w:lang w:eastAsia="ca-ES"/>
        </w:rPr>
        <w:t>- Institut d’Estudis Andorrans</w:t>
      </w:r>
    </w:p>
    <w:p w:rsidR="002C794E" w:rsidRDefault="002C794E" w:rsidP="002C794E">
      <w:pPr>
        <w:rPr>
          <w:lang w:eastAsia="ca-ES"/>
        </w:rPr>
      </w:pPr>
      <w:r>
        <w:rPr>
          <w:lang w:eastAsia="ca-ES"/>
        </w:rPr>
        <w:t>- Universitat d’Andorra</w:t>
      </w:r>
    </w:p>
    <w:p w:rsidR="002C794E" w:rsidRDefault="002C794E" w:rsidP="002C794E">
      <w:pPr>
        <w:rPr>
          <w:lang w:eastAsia="ca-ES"/>
        </w:rPr>
      </w:pPr>
      <w:r>
        <w:rPr>
          <w:lang w:eastAsia="ca-ES"/>
        </w:rPr>
        <w:t>- Societat de Gestió Col·lectiva de Drets d’Autor i Drets Veïns del Principat d’Andorra</w:t>
      </w:r>
    </w:p>
    <w:p w:rsidR="002C794E" w:rsidRDefault="002C794E" w:rsidP="002C794E">
      <w:pPr>
        <w:rPr>
          <w:rFonts w:eastAsia="Arial"/>
        </w:rPr>
      </w:pPr>
      <w:r>
        <w:rPr>
          <w:lang w:eastAsia="ca-ES"/>
        </w:rPr>
        <w:t xml:space="preserve">- </w:t>
      </w:r>
      <w:r>
        <w:rPr>
          <w:rFonts w:eastAsia="Arial"/>
        </w:rPr>
        <w:t xml:space="preserve">Agència Estatal de Resolució d’Entitats Bancàries </w:t>
      </w:r>
    </w:p>
    <w:p w:rsidR="002C794E" w:rsidRDefault="002C794E" w:rsidP="002C794E">
      <w:pPr>
        <w:rPr>
          <w:lang w:eastAsia="ca-ES"/>
        </w:rPr>
      </w:pPr>
      <w:r>
        <w:rPr>
          <w:lang w:eastAsia="ca-ES"/>
        </w:rPr>
        <w:t>c) Els pressupostos de les societats públiques participades per l’Administració general:</w:t>
      </w:r>
    </w:p>
    <w:p w:rsidR="002C794E" w:rsidRDefault="002C794E" w:rsidP="002C794E">
      <w:pPr>
        <w:rPr>
          <w:lang w:eastAsia="ca-ES"/>
        </w:rPr>
      </w:pPr>
      <w:r>
        <w:rPr>
          <w:lang w:eastAsia="ca-ES"/>
        </w:rPr>
        <w:t xml:space="preserve">- Andorra </w:t>
      </w:r>
      <w:proofErr w:type="spellStart"/>
      <w:r>
        <w:rPr>
          <w:lang w:eastAsia="ca-ES"/>
        </w:rPr>
        <w:t>Telecom</w:t>
      </w:r>
      <w:proofErr w:type="spellEnd"/>
      <w:r>
        <w:rPr>
          <w:lang w:eastAsia="ca-ES"/>
        </w:rPr>
        <w:t>, SAU</w:t>
      </w:r>
    </w:p>
    <w:p w:rsidR="002C794E" w:rsidRDefault="002C794E" w:rsidP="002C794E">
      <w:pPr>
        <w:rPr>
          <w:lang w:eastAsia="ca-ES"/>
        </w:rPr>
      </w:pPr>
      <w:r>
        <w:rPr>
          <w:lang w:eastAsia="ca-ES"/>
        </w:rPr>
        <w:t>- Ràdio i Televisió d’Andorra, SA</w:t>
      </w:r>
    </w:p>
    <w:p w:rsidR="002C794E" w:rsidRDefault="002C794E" w:rsidP="002C794E">
      <w:pPr>
        <w:rPr>
          <w:lang w:eastAsia="ca-ES"/>
        </w:rPr>
      </w:pPr>
      <w:r>
        <w:rPr>
          <w:lang w:eastAsia="ca-ES"/>
        </w:rPr>
        <w:t>- Ramaders d’Andorra, SA</w:t>
      </w:r>
    </w:p>
    <w:p w:rsidR="002C794E" w:rsidRDefault="002C794E" w:rsidP="002C794E">
      <w:pPr>
        <w:rPr>
          <w:lang w:eastAsia="ca-ES"/>
        </w:rPr>
      </w:pPr>
      <w:r>
        <w:rPr>
          <w:lang w:eastAsia="ca-ES"/>
        </w:rPr>
        <w:t>- Andorra Turisme, SAU</w:t>
      </w:r>
    </w:p>
    <w:p w:rsidR="002C794E" w:rsidRDefault="002C794E" w:rsidP="002C794E">
      <w:pPr>
        <w:rPr>
          <w:lang w:eastAsia="ca-ES"/>
        </w:rPr>
      </w:pPr>
      <w:r>
        <w:rPr>
          <w:lang w:eastAsia="ca-ES"/>
        </w:rPr>
        <w:t>- Centre de Tractament de Residus d’Andorra, SA</w:t>
      </w:r>
    </w:p>
    <w:p w:rsidR="002C794E" w:rsidRDefault="002C794E" w:rsidP="002C794E">
      <w:pPr>
        <w:rPr>
          <w:lang w:eastAsia="ca-ES"/>
        </w:rPr>
      </w:pPr>
      <w:r>
        <w:rPr>
          <w:lang w:eastAsia="ca-ES"/>
        </w:rPr>
        <w:t>- Andorra Desenvolupament i Inversió, SAU</w:t>
      </w:r>
      <w:r>
        <w:rPr>
          <w:rFonts w:eastAsia="Arial"/>
        </w:rPr>
        <w:t>.”</w:t>
      </w:r>
      <w:r>
        <w:t xml:space="preserve"> </w:t>
      </w:r>
    </w:p>
    <w:p w:rsidR="002C794E" w:rsidRPr="002C794E" w:rsidRDefault="002C794E" w:rsidP="002C794E">
      <w:pPr>
        <w:pStyle w:val="article"/>
        <w:rPr>
          <w:rFonts w:eastAsia="Arial"/>
          <w:i/>
        </w:rPr>
      </w:pPr>
      <w:r>
        <w:rPr>
          <w:rFonts w:eastAsia="Arial"/>
        </w:rPr>
        <w:lastRenderedPageBreak/>
        <w:t xml:space="preserve">Article 2. </w:t>
      </w:r>
      <w:r w:rsidRPr="002C794E">
        <w:rPr>
          <w:rFonts w:eastAsia="Arial"/>
          <w:i/>
        </w:rPr>
        <w:t>Addició d’un nou paràgraf a l’apartat 2 de l’article 2</w:t>
      </w:r>
    </w:p>
    <w:p w:rsidR="002C794E" w:rsidRDefault="002C794E" w:rsidP="002C794E">
      <w:pPr>
        <w:rPr>
          <w:rFonts w:eastAsia="Arial"/>
        </w:rPr>
      </w:pPr>
      <w:r>
        <w:rPr>
          <w:rFonts w:eastAsia="Arial"/>
        </w:rPr>
        <w:t xml:space="preserve">S’afegeix el paràgraf següent a l’apartat 2 de l’article 2 de la Llei 7/2015, del 15 de gener, del pressupost per a l’exercici del 2015: </w:t>
      </w:r>
    </w:p>
    <w:p w:rsidR="002C794E" w:rsidRDefault="002C794E" w:rsidP="002C794E">
      <w:pPr>
        <w:rPr>
          <w:rFonts w:eastAsia="Arial"/>
        </w:rPr>
      </w:pPr>
      <w:r>
        <w:rPr>
          <w:rFonts w:eastAsia="Arial"/>
        </w:rPr>
        <w:t>“En el pressupost de Agència Estatal de Resolució d’Entitats Bancàries s’atorguen crèdits per atendre la totalitat de les seves obligacions per un import de 20.722.890,16 euros. Els recursos previstos durant l’exercici pugen a 20.722.890,16 euros.”</w:t>
      </w:r>
    </w:p>
    <w:p w:rsidR="002C794E" w:rsidRDefault="002C794E" w:rsidP="002C794E">
      <w:pPr>
        <w:pStyle w:val="esmenan"/>
      </w:pPr>
      <w:r>
        <w:t>Esmena 2</w:t>
      </w:r>
      <w:r>
        <w:tab/>
        <w:t>De modificació</w:t>
      </w:r>
    </w:p>
    <w:p w:rsidR="002C794E" w:rsidRDefault="002C794E" w:rsidP="002C794E">
      <w:pPr>
        <w:pStyle w:val="normalCursiva"/>
      </w:pPr>
      <w:r>
        <w:t>Grup Parlamentari Mixt – PS</w:t>
      </w:r>
    </w:p>
    <w:p w:rsidR="002C794E" w:rsidRDefault="002C794E" w:rsidP="002C794E">
      <w:pPr>
        <w:pStyle w:val="normal1"/>
      </w:pPr>
      <w:r>
        <w:t>Es modifica l’article 2 amb el text següent:</w:t>
      </w:r>
    </w:p>
    <w:p w:rsidR="002C794E" w:rsidRPr="002C794E" w:rsidRDefault="002C794E" w:rsidP="002C794E">
      <w:pPr>
        <w:pStyle w:val="normal1"/>
        <w:rPr>
          <w:i/>
        </w:rPr>
      </w:pPr>
      <w:r>
        <w:t xml:space="preserve">“Article 2. </w:t>
      </w:r>
      <w:r w:rsidRPr="002C794E">
        <w:rPr>
          <w:i/>
        </w:rPr>
        <w:t xml:space="preserve">Addició d’un nou paràgraf a l’apartat 2 de l’article 2 </w:t>
      </w:r>
    </w:p>
    <w:p w:rsidR="002C794E" w:rsidRDefault="002C794E" w:rsidP="002C794E">
      <w:pPr>
        <w:pStyle w:val="normal1"/>
      </w:pPr>
      <w:r>
        <w:t xml:space="preserve">S’afegeix el paràgraf següent a l’apartat 2 de l’article 2 de la Llei 7/2015, del 15 de gener, del pressupost per a l’exercici del 2015: </w:t>
      </w:r>
    </w:p>
    <w:p w:rsidR="002C794E" w:rsidRDefault="002C794E" w:rsidP="002C794E">
      <w:pPr>
        <w:pStyle w:val="normal1"/>
      </w:pPr>
      <w:r>
        <w:rPr>
          <w:rFonts w:cs="Arial"/>
          <w:szCs w:val="28"/>
        </w:rPr>
        <w:t xml:space="preserve">“En el pressupost de </w:t>
      </w:r>
      <w:r>
        <w:rPr>
          <w:rFonts w:cs="Arial"/>
          <w:b/>
          <w:szCs w:val="28"/>
        </w:rPr>
        <w:t>l’</w:t>
      </w:r>
      <w:r>
        <w:rPr>
          <w:rFonts w:cs="Arial"/>
          <w:szCs w:val="28"/>
        </w:rPr>
        <w:t xml:space="preserve">Agència Estatal de Resolució d’Entitats Bancàries </w:t>
      </w:r>
      <w:r w:rsidRPr="002C794E">
        <w:rPr>
          <w:rFonts w:cs="Arial"/>
          <w:color w:val="000000"/>
          <w:szCs w:val="28"/>
        </w:rPr>
        <w:t xml:space="preserve">s’atorguen crèdits per atendre la totalitat de les seves obligacions per un import de </w:t>
      </w:r>
      <w:r w:rsidRPr="002C794E">
        <w:rPr>
          <w:rFonts w:cs="Arial"/>
          <w:b/>
          <w:color w:val="000000"/>
          <w:szCs w:val="28"/>
        </w:rPr>
        <w:t>15.112.558,55</w:t>
      </w:r>
      <w:r w:rsidRPr="002C794E">
        <w:rPr>
          <w:rFonts w:cs="Arial"/>
          <w:color w:val="000000"/>
          <w:szCs w:val="28"/>
        </w:rPr>
        <w:t xml:space="preserve"> euros. Els recursos previstos durant l’exercici pugen a </w:t>
      </w:r>
      <w:r w:rsidRPr="002C794E">
        <w:rPr>
          <w:rFonts w:cs="Arial"/>
          <w:b/>
          <w:color w:val="000000"/>
          <w:szCs w:val="28"/>
        </w:rPr>
        <w:t xml:space="preserve">15.112.558,55 </w:t>
      </w:r>
      <w:r w:rsidRPr="002C794E">
        <w:rPr>
          <w:rFonts w:cs="Arial"/>
          <w:color w:val="000000"/>
          <w:szCs w:val="28"/>
        </w:rPr>
        <w:t>euros.”</w:t>
      </w:r>
    </w:p>
    <w:p w:rsidR="002C794E" w:rsidRPr="002C794E" w:rsidRDefault="002C794E" w:rsidP="002C794E">
      <w:pPr>
        <w:pStyle w:val="article"/>
        <w:rPr>
          <w:rFonts w:eastAsia="Arial"/>
          <w:i/>
        </w:rPr>
      </w:pPr>
      <w:r>
        <w:rPr>
          <w:rFonts w:eastAsia="Arial"/>
        </w:rPr>
        <w:t xml:space="preserve">Article 3. </w:t>
      </w:r>
      <w:r w:rsidRPr="002C794E">
        <w:rPr>
          <w:rFonts w:eastAsia="Arial"/>
          <w:i/>
        </w:rPr>
        <w:t>Addicció d’un punt h a l’apartat 1 de l’article 25</w:t>
      </w:r>
    </w:p>
    <w:p w:rsidR="002C794E" w:rsidRDefault="002C794E" w:rsidP="002C794E">
      <w:pPr>
        <w:rPr>
          <w:rFonts w:eastAsia="Arial"/>
        </w:rPr>
      </w:pPr>
      <w:r>
        <w:rPr>
          <w:rFonts w:eastAsia="Arial"/>
        </w:rPr>
        <w:t xml:space="preserve">S’afegeix el punt </w:t>
      </w:r>
      <w:r>
        <w:rPr>
          <w:rFonts w:eastAsia="Arial"/>
          <w:i/>
        </w:rPr>
        <w:t>h</w:t>
      </w:r>
      <w:r>
        <w:rPr>
          <w:rFonts w:eastAsia="Arial"/>
        </w:rPr>
        <w:t xml:space="preserve"> següent a l’apartat 1 de l’article 25 de la Llei 7/2015, del 15 de gener, del pressupost per a l’exercici del 2015:</w:t>
      </w:r>
    </w:p>
    <w:p w:rsidR="002C794E" w:rsidRDefault="002C794E" w:rsidP="002C794E">
      <w:pPr>
        <w:rPr>
          <w:rFonts w:eastAsia="Arial"/>
        </w:rPr>
      </w:pPr>
      <w:r>
        <w:rPr>
          <w:rFonts w:eastAsia="Arial"/>
        </w:rPr>
        <w:t>“h) Concertar operacions d’endeutament per formalitzar préstecs, crèdits o qualsevol altra operació d’endeutament, per un import de 20.022.376,10 euros, per fer front a les despeses derivades del procés de resolució de l’entitat Banca Privada d’Andorra, SA.</w:t>
      </w:r>
    </w:p>
    <w:p w:rsidR="002C794E" w:rsidRDefault="002C794E" w:rsidP="002C794E">
      <w:pPr>
        <w:rPr>
          <w:rFonts w:eastAsia="Arial"/>
        </w:rPr>
      </w:pPr>
      <w:r>
        <w:rPr>
          <w:rFonts w:eastAsia="Arial"/>
        </w:rPr>
        <w:t>Aquest nou endeutament es destina a la concessió d’un préstec per part del Govern a l’Agència Estatal de Resolució d’Entitats Bancàries.”</w:t>
      </w:r>
    </w:p>
    <w:p w:rsidR="002C794E" w:rsidRDefault="002C794E" w:rsidP="002C794E">
      <w:pPr>
        <w:pStyle w:val="esmenan"/>
      </w:pPr>
      <w:r>
        <w:t>Esmena 3</w:t>
      </w:r>
      <w:r>
        <w:tab/>
        <w:t>De modificació</w:t>
      </w:r>
    </w:p>
    <w:p w:rsidR="002C794E" w:rsidRDefault="002C794E" w:rsidP="002C794E">
      <w:pPr>
        <w:pStyle w:val="normalCursiva"/>
      </w:pPr>
      <w:r>
        <w:t>Grup Parlamentari Mixt – PS</w:t>
      </w:r>
    </w:p>
    <w:p w:rsidR="002C794E" w:rsidRDefault="002C794E" w:rsidP="002C794E">
      <w:pPr>
        <w:pStyle w:val="normal1"/>
      </w:pPr>
      <w:r>
        <w:t>Es modifica l’article 3 amb el text següent:</w:t>
      </w:r>
    </w:p>
    <w:p w:rsidR="002C794E" w:rsidRPr="002C794E" w:rsidRDefault="002C794E" w:rsidP="002C794E">
      <w:pPr>
        <w:pStyle w:val="normal1"/>
        <w:rPr>
          <w:i/>
        </w:rPr>
      </w:pPr>
      <w:r>
        <w:t xml:space="preserve">“Article 3. </w:t>
      </w:r>
      <w:r w:rsidRPr="002C794E">
        <w:rPr>
          <w:i/>
        </w:rPr>
        <w:t xml:space="preserve">Addicció d’un punt h a l’apartat 1 de l’article 25 </w:t>
      </w:r>
    </w:p>
    <w:p w:rsidR="002C794E" w:rsidRDefault="002C794E" w:rsidP="002C794E">
      <w:pPr>
        <w:pStyle w:val="normal1"/>
      </w:pPr>
      <w:r>
        <w:t>S’afegeix el punt h següent a l’apartat 1 de l’ar</w:t>
      </w:r>
      <w:r w:rsidRPr="002C794E">
        <w:t>t</w:t>
      </w:r>
      <w:r>
        <w:t xml:space="preserve">icle 25 de la Llei 7/2015, del 15 de gener, del pressupost per a l’exercici del 2015: </w:t>
      </w:r>
    </w:p>
    <w:p w:rsidR="002C794E" w:rsidRDefault="002C794E" w:rsidP="002C794E">
      <w:pPr>
        <w:pStyle w:val="normal1"/>
      </w:pPr>
      <w:r>
        <w:t xml:space="preserve">“h) Concertar operacions d’endeutament per formalitzar préstecs, crèdits o qualsevol altra operació d’endeutament, per </w:t>
      </w:r>
      <w:r w:rsidRPr="002C794E">
        <w:rPr>
          <w:color w:val="000000"/>
        </w:rPr>
        <w:t xml:space="preserve">un import de </w:t>
      </w:r>
      <w:r w:rsidRPr="002C794E">
        <w:rPr>
          <w:b/>
          <w:color w:val="000000"/>
        </w:rPr>
        <w:t>14.412.044,49</w:t>
      </w:r>
      <w:r w:rsidRPr="002C794E">
        <w:rPr>
          <w:color w:val="000000"/>
        </w:rPr>
        <w:t xml:space="preserve"> euros</w:t>
      </w:r>
      <w:r>
        <w:t xml:space="preserve">, per fer front a les despeses </w:t>
      </w:r>
      <w:r>
        <w:lastRenderedPageBreak/>
        <w:t xml:space="preserve">derivades del procés de resolució de l’entitat Banca Privada d’Andorra, SA. </w:t>
      </w:r>
    </w:p>
    <w:p w:rsidR="002C794E" w:rsidRDefault="002C794E" w:rsidP="002C794E">
      <w:pPr>
        <w:pStyle w:val="normal1"/>
      </w:pPr>
      <w:r>
        <w:rPr>
          <w:rFonts w:cs="Arial"/>
          <w:szCs w:val="28"/>
        </w:rPr>
        <w:t>Aquest nou endeutament es destina a la concessió d’un préstec per part del Govern a l’Agència Estatal de Resolució d’Entitats Bancàries.”</w:t>
      </w:r>
    </w:p>
    <w:p w:rsidR="002C794E" w:rsidRDefault="002C794E" w:rsidP="002C794E">
      <w:pPr>
        <w:pStyle w:val="article"/>
        <w:rPr>
          <w:rFonts w:eastAsia="Arial"/>
        </w:rPr>
      </w:pPr>
      <w:r>
        <w:rPr>
          <w:rFonts w:eastAsia="Arial"/>
        </w:rPr>
        <w:t xml:space="preserve">Article 4. </w:t>
      </w:r>
      <w:r w:rsidRPr="002C794E">
        <w:rPr>
          <w:rFonts w:eastAsia="Arial"/>
          <w:i/>
        </w:rPr>
        <w:t>Pressupost de l’Agència Estatal de Resolució d’Entitats Bancàries</w:t>
      </w:r>
    </w:p>
    <w:p w:rsidR="002C794E" w:rsidRDefault="002C794E" w:rsidP="002C794E">
      <w:pPr>
        <w:rPr>
          <w:rFonts w:eastAsia="Arial"/>
        </w:rPr>
      </w:pPr>
      <w:r>
        <w:rPr>
          <w:rFonts w:eastAsia="Arial"/>
        </w:rPr>
        <w:t>S’aprova el pressupost d’ingressos i el pressupost de despeses per a l’exercici 2015 de l’Agència Estatal de Resolució d’Entitats Bancàries que s’annexa a la Llei 7/2015.</w:t>
      </w:r>
    </w:p>
    <w:p w:rsidR="002C794E" w:rsidRDefault="002C794E" w:rsidP="002C794E">
      <w:pPr>
        <w:rPr>
          <w:rFonts w:eastAsia="Arial"/>
        </w:rPr>
      </w:pPr>
      <w:r>
        <w:rPr>
          <w:rFonts w:eastAsia="Arial"/>
        </w:rPr>
        <w:t>“Pressupost de l’Agència Estatal de Resolució d’Entitats Bancàries (</w:t>
      </w:r>
      <w:proofErr w:type="spellStart"/>
      <w:r>
        <w:rPr>
          <w:rFonts w:eastAsia="Arial"/>
        </w:rPr>
        <w:t>AREB</w:t>
      </w:r>
      <w:proofErr w:type="spellEnd"/>
      <w:r>
        <w:rPr>
          <w:rFonts w:eastAsia="Arial"/>
        </w:rPr>
        <w:t>)</w:t>
      </w:r>
    </w:p>
    <w:p w:rsidR="002C794E" w:rsidRDefault="002C794E" w:rsidP="002C794E">
      <w:pPr>
        <w:keepNext/>
        <w:rPr>
          <w:rFonts w:eastAsia="Arial"/>
        </w:rPr>
      </w:pPr>
      <w:r>
        <w:rPr>
          <w:rFonts w:eastAsia="Arial"/>
        </w:rPr>
        <w:t>Pressupost de despeses</w:t>
      </w:r>
    </w:p>
    <w:p w:rsidR="002C794E" w:rsidRDefault="002C794E" w:rsidP="002C794E">
      <w:pPr>
        <w:spacing w:line="240" w:lineRule="auto"/>
        <w:rPr>
          <w:rFonts w:ascii="Arial" w:eastAsia="Arial" w:hAnsi="Arial" w:cs="Arial"/>
        </w:rPr>
      </w:pPr>
      <w:r>
        <w:rPr>
          <w:noProof/>
          <w:lang w:val="es-ES"/>
        </w:rPr>
        <w:drawing>
          <wp:inline distT="0" distB="0" distL="0" distR="0">
            <wp:extent cx="2876550" cy="2257425"/>
            <wp:effectExtent l="0" t="0" r="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76550" cy="2257425"/>
                    </a:xfrm>
                    <a:prstGeom prst="rect">
                      <a:avLst/>
                    </a:prstGeom>
                    <a:noFill/>
                    <a:ln>
                      <a:noFill/>
                    </a:ln>
                  </pic:spPr>
                </pic:pic>
              </a:graphicData>
            </a:graphic>
          </wp:inline>
        </w:drawing>
      </w:r>
    </w:p>
    <w:p w:rsidR="002C794E" w:rsidRDefault="002C794E" w:rsidP="002C794E">
      <w:pPr>
        <w:keepNext/>
        <w:rPr>
          <w:rFonts w:ascii="Garamond" w:hAnsi="Garamond"/>
          <w:lang w:eastAsia="ca-ES"/>
        </w:rPr>
      </w:pPr>
      <w:r>
        <w:rPr>
          <w:lang w:eastAsia="ca-ES"/>
        </w:rPr>
        <w:t>Pressupost d’ingressos</w:t>
      </w:r>
    </w:p>
    <w:p w:rsidR="002C794E" w:rsidRDefault="002C794E" w:rsidP="002C794E">
      <w:pPr>
        <w:spacing w:line="240" w:lineRule="auto"/>
        <w:rPr>
          <w:lang w:eastAsia="ca-ES"/>
        </w:rPr>
      </w:pPr>
      <w:r>
        <w:rPr>
          <w:noProof/>
          <w:lang w:val="es-ES"/>
        </w:rPr>
        <w:drawing>
          <wp:inline distT="0" distB="0" distL="0" distR="0">
            <wp:extent cx="3048000" cy="135255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48000" cy="1352550"/>
                    </a:xfrm>
                    <a:prstGeom prst="rect">
                      <a:avLst/>
                    </a:prstGeom>
                    <a:noFill/>
                    <a:ln>
                      <a:noFill/>
                    </a:ln>
                  </pic:spPr>
                </pic:pic>
              </a:graphicData>
            </a:graphic>
          </wp:inline>
        </w:drawing>
      </w:r>
      <w:r>
        <w:rPr>
          <w:rFonts w:eastAsia="Arial"/>
        </w:rPr>
        <w:t>”</w:t>
      </w:r>
    </w:p>
    <w:p w:rsidR="002C794E" w:rsidRDefault="002C794E" w:rsidP="002C794E">
      <w:pPr>
        <w:pStyle w:val="esmenan"/>
      </w:pPr>
      <w:r>
        <w:t>Esmena 4</w:t>
      </w:r>
      <w:r>
        <w:tab/>
        <w:t>De modificació</w:t>
      </w:r>
    </w:p>
    <w:p w:rsidR="002C794E" w:rsidRDefault="002C794E" w:rsidP="002C794E">
      <w:pPr>
        <w:pStyle w:val="normalCursiva"/>
      </w:pPr>
      <w:r>
        <w:t>Grup Parlamentari Mixt – PS</w:t>
      </w:r>
    </w:p>
    <w:p w:rsidR="002C794E" w:rsidRDefault="002C794E" w:rsidP="002C794E">
      <w:pPr>
        <w:pStyle w:val="normal1"/>
      </w:pPr>
      <w:r>
        <w:t>Es modifica l’article 4 amb el text següent:</w:t>
      </w:r>
    </w:p>
    <w:p w:rsidR="002C794E" w:rsidRDefault="002C794E" w:rsidP="00DC1088">
      <w:pPr>
        <w:autoSpaceDE w:val="0"/>
        <w:autoSpaceDN w:val="0"/>
        <w:adjustRightInd w:val="0"/>
        <w:spacing w:before="240"/>
        <w:ind w:left="284"/>
        <w:rPr>
          <w:rFonts w:cs="Arial"/>
          <w:szCs w:val="28"/>
        </w:rPr>
      </w:pPr>
      <w:r>
        <w:rPr>
          <w:rFonts w:cs="Arial"/>
          <w:szCs w:val="28"/>
        </w:rPr>
        <w:t xml:space="preserve">“Article 4. </w:t>
      </w:r>
      <w:r>
        <w:rPr>
          <w:rFonts w:cs="Arial"/>
          <w:i/>
          <w:szCs w:val="28"/>
        </w:rPr>
        <w:t>Pressupost de l’Agència Estatal de Resolució d’Entitats Bancàries</w:t>
      </w:r>
      <w:r>
        <w:rPr>
          <w:rFonts w:cs="Arial"/>
          <w:szCs w:val="28"/>
        </w:rPr>
        <w:t xml:space="preserve"> </w:t>
      </w:r>
    </w:p>
    <w:p w:rsidR="002C794E" w:rsidRDefault="002C794E" w:rsidP="002C794E">
      <w:pPr>
        <w:pStyle w:val="normal1"/>
      </w:pPr>
      <w:r>
        <w:t xml:space="preserve">S’aprova el pressupost d’ingressos i el pressupost de despeses per a l’exercici 2015 de l’Agència Estatal de Resolució d’Entitats Bancàries que s’annexa a la Llei 7/2015. </w:t>
      </w:r>
    </w:p>
    <w:p w:rsidR="002C794E" w:rsidRDefault="002C794E" w:rsidP="002C794E">
      <w:pPr>
        <w:pStyle w:val="normal1"/>
      </w:pPr>
      <w:r>
        <w:t>“Pressupost de l’Agència Estatal de Resolució d’Entitats Bancàries (</w:t>
      </w:r>
      <w:proofErr w:type="spellStart"/>
      <w:r>
        <w:t>AREB</w:t>
      </w:r>
      <w:proofErr w:type="spellEnd"/>
      <w:r>
        <w:t xml:space="preserve">) </w:t>
      </w:r>
    </w:p>
    <w:p w:rsidR="002C794E" w:rsidRDefault="002C794E" w:rsidP="00283ABC">
      <w:pPr>
        <w:pStyle w:val="normal1"/>
        <w:keepNext/>
        <w:spacing w:before="240"/>
      </w:pPr>
      <w:r>
        <w:lastRenderedPageBreak/>
        <w:t>Pressupost de despeses</w:t>
      </w:r>
    </w:p>
    <w:tbl>
      <w:tblPr>
        <w:tblW w:w="4628" w:type="dxa"/>
        <w:tblInd w:w="55" w:type="dxa"/>
        <w:tblLayout w:type="fixed"/>
        <w:tblCellMar>
          <w:left w:w="0" w:type="dxa"/>
          <w:right w:w="0" w:type="dxa"/>
        </w:tblCellMar>
        <w:tblLook w:val="04A0" w:firstRow="1" w:lastRow="0" w:firstColumn="1" w:lastColumn="0" w:noHBand="0" w:noVBand="1"/>
      </w:tblPr>
      <w:tblGrid>
        <w:gridCol w:w="234"/>
        <w:gridCol w:w="1559"/>
        <w:gridCol w:w="992"/>
        <w:gridCol w:w="851"/>
        <w:gridCol w:w="992"/>
      </w:tblGrid>
      <w:tr w:rsidR="00283ABC" w:rsidRPr="00283ABC" w:rsidTr="0029458C">
        <w:trPr>
          <w:cantSplit/>
        </w:trPr>
        <w:tc>
          <w:tcPr>
            <w:tcW w:w="234" w:type="dxa"/>
            <w:tcBorders>
              <w:top w:val="single" w:sz="4" w:space="0" w:color="auto"/>
              <w:left w:val="single" w:sz="4" w:space="0" w:color="auto"/>
              <w:bottom w:val="single" w:sz="4" w:space="0" w:color="auto"/>
              <w:right w:val="single" w:sz="4" w:space="0" w:color="auto"/>
            </w:tcBorders>
            <w:noWrap/>
            <w:hideMark/>
          </w:tcPr>
          <w:p w:rsidR="002C794E" w:rsidRPr="00283ABC" w:rsidRDefault="002C794E" w:rsidP="0029458C">
            <w:pPr>
              <w:spacing w:after="0"/>
              <w:jc w:val="center"/>
              <w:rPr>
                <w:rFonts w:ascii="Garamond" w:hAnsi="Garamond"/>
                <w:sz w:val="14"/>
                <w:szCs w:val="14"/>
                <w:lang w:eastAsia="ca-ES"/>
              </w:rPr>
            </w:pPr>
          </w:p>
        </w:tc>
        <w:tc>
          <w:tcPr>
            <w:tcW w:w="1559" w:type="dxa"/>
            <w:tcBorders>
              <w:top w:val="single" w:sz="4" w:space="0" w:color="auto"/>
              <w:left w:val="nil"/>
              <w:bottom w:val="single" w:sz="4" w:space="0" w:color="auto"/>
              <w:right w:val="single" w:sz="4" w:space="0" w:color="auto"/>
            </w:tcBorders>
            <w:noWrap/>
            <w:hideMark/>
          </w:tcPr>
          <w:p w:rsidR="002C794E" w:rsidRPr="00283ABC" w:rsidRDefault="002C794E" w:rsidP="0029458C">
            <w:pPr>
              <w:spacing w:after="0"/>
              <w:jc w:val="center"/>
              <w:rPr>
                <w:rFonts w:ascii="Garamond" w:hAnsi="Garamond"/>
                <w:b/>
                <w:bCs/>
                <w:sz w:val="14"/>
                <w:szCs w:val="14"/>
                <w:lang w:eastAsia="ca-ES"/>
              </w:rPr>
            </w:pPr>
            <w:r w:rsidRPr="00283ABC">
              <w:rPr>
                <w:b/>
                <w:bCs/>
                <w:sz w:val="14"/>
                <w:szCs w:val="14"/>
                <w:lang w:eastAsia="ca-ES"/>
              </w:rPr>
              <w:t>En euros</w:t>
            </w:r>
          </w:p>
        </w:tc>
        <w:tc>
          <w:tcPr>
            <w:tcW w:w="992" w:type="dxa"/>
            <w:tcBorders>
              <w:top w:val="single" w:sz="4" w:space="0" w:color="auto"/>
              <w:left w:val="nil"/>
              <w:bottom w:val="single" w:sz="4" w:space="0" w:color="auto"/>
              <w:right w:val="single" w:sz="4" w:space="0" w:color="auto"/>
            </w:tcBorders>
            <w:noWrap/>
            <w:hideMark/>
          </w:tcPr>
          <w:p w:rsidR="002C794E" w:rsidRPr="00283ABC" w:rsidRDefault="002C794E" w:rsidP="0029458C">
            <w:pPr>
              <w:spacing w:after="0"/>
              <w:jc w:val="center"/>
              <w:rPr>
                <w:rFonts w:ascii="Garamond" w:hAnsi="Garamond"/>
                <w:b/>
                <w:bCs/>
                <w:sz w:val="14"/>
                <w:szCs w:val="14"/>
                <w:lang w:eastAsia="ca-ES"/>
              </w:rPr>
            </w:pPr>
            <w:r w:rsidRPr="00283ABC">
              <w:rPr>
                <w:b/>
                <w:bCs/>
                <w:sz w:val="14"/>
                <w:szCs w:val="14"/>
                <w:lang w:eastAsia="ca-ES"/>
              </w:rPr>
              <w:t>TOTAL</w:t>
            </w:r>
          </w:p>
        </w:tc>
        <w:tc>
          <w:tcPr>
            <w:tcW w:w="851" w:type="dxa"/>
            <w:tcBorders>
              <w:top w:val="single" w:sz="4" w:space="0" w:color="auto"/>
              <w:left w:val="nil"/>
              <w:bottom w:val="single" w:sz="4" w:space="0" w:color="auto"/>
              <w:right w:val="single" w:sz="4" w:space="0" w:color="auto"/>
            </w:tcBorders>
            <w:noWrap/>
            <w:hideMark/>
          </w:tcPr>
          <w:p w:rsidR="002C794E" w:rsidRPr="00283ABC" w:rsidRDefault="002C794E" w:rsidP="0029458C">
            <w:pPr>
              <w:spacing w:after="0"/>
              <w:jc w:val="center"/>
              <w:rPr>
                <w:rFonts w:ascii="Garamond" w:hAnsi="Garamond"/>
                <w:b/>
                <w:bCs/>
                <w:sz w:val="14"/>
                <w:szCs w:val="14"/>
                <w:lang w:eastAsia="ca-ES"/>
              </w:rPr>
            </w:pPr>
            <w:proofErr w:type="spellStart"/>
            <w:r w:rsidRPr="00283ABC">
              <w:rPr>
                <w:b/>
                <w:bCs/>
                <w:sz w:val="14"/>
                <w:szCs w:val="14"/>
                <w:lang w:eastAsia="ca-ES"/>
              </w:rPr>
              <w:t>PROJ</w:t>
            </w:r>
            <w:proofErr w:type="spellEnd"/>
            <w:r w:rsidRPr="00283ABC">
              <w:rPr>
                <w:b/>
                <w:bCs/>
                <w:sz w:val="14"/>
                <w:szCs w:val="14"/>
                <w:lang w:eastAsia="ca-ES"/>
              </w:rPr>
              <w:t xml:space="preserve"> 0001</w:t>
            </w:r>
          </w:p>
        </w:tc>
        <w:tc>
          <w:tcPr>
            <w:tcW w:w="992" w:type="dxa"/>
            <w:tcBorders>
              <w:top w:val="single" w:sz="4" w:space="0" w:color="auto"/>
              <w:left w:val="nil"/>
              <w:bottom w:val="single" w:sz="4" w:space="0" w:color="auto"/>
              <w:right w:val="single" w:sz="4" w:space="0" w:color="auto"/>
            </w:tcBorders>
            <w:noWrap/>
            <w:hideMark/>
          </w:tcPr>
          <w:p w:rsidR="002C794E" w:rsidRPr="00283ABC" w:rsidRDefault="002C794E" w:rsidP="0029458C">
            <w:pPr>
              <w:spacing w:after="0"/>
              <w:jc w:val="center"/>
              <w:rPr>
                <w:rFonts w:ascii="Garamond" w:hAnsi="Garamond"/>
                <w:b/>
                <w:bCs/>
                <w:sz w:val="14"/>
                <w:szCs w:val="14"/>
                <w:lang w:eastAsia="ca-ES"/>
              </w:rPr>
            </w:pPr>
            <w:proofErr w:type="spellStart"/>
            <w:r w:rsidRPr="00283ABC">
              <w:rPr>
                <w:b/>
                <w:bCs/>
                <w:sz w:val="14"/>
                <w:szCs w:val="14"/>
                <w:lang w:eastAsia="ca-ES"/>
              </w:rPr>
              <w:t>PROJ</w:t>
            </w:r>
            <w:proofErr w:type="spellEnd"/>
            <w:r w:rsidRPr="00283ABC">
              <w:rPr>
                <w:b/>
                <w:bCs/>
                <w:sz w:val="14"/>
                <w:szCs w:val="14"/>
                <w:lang w:eastAsia="ca-ES"/>
              </w:rPr>
              <w:t xml:space="preserve"> 0002</w:t>
            </w:r>
          </w:p>
        </w:tc>
      </w:tr>
      <w:tr w:rsidR="00283ABC" w:rsidRPr="0029458C" w:rsidTr="0029458C">
        <w:trPr>
          <w:cantSplit/>
        </w:trPr>
        <w:tc>
          <w:tcPr>
            <w:tcW w:w="234" w:type="dxa"/>
            <w:tcBorders>
              <w:top w:val="nil"/>
              <w:left w:val="single" w:sz="4" w:space="0" w:color="auto"/>
              <w:bottom w:val="single" w:sz="4" w:space="0" w:color="auto"/>
              <w:right w:val="single" w:sz="4" w:space="0" w:color="auto"/>
            </w:tcBorders>
            <w:noWrap/>
            <w:hideMark/>
          </w:tcPr>
          <w:p w:rsidR="002C794E" w:rsidRPr="0029458C" w:rsidRDefault="002C794E" w:rsidP="0029458C">
            <w:pPr>
              <w:spacing w:after="0"/>
              <w:rPr>
                <w:rFonts w:ascii="Garamond" w:hAnsi="Garamond"/>
                <w:b/>
                <w:sz w:val="14"/>
                <w:szCs w:val="14"/>
                <w:lang w:eastAsia="ca-ES"/>
              </w:rPr>
            </w:pPr>
            <w:r w:rsidRPr="0029458C">
              <w:rPr>
                <w:b/>
                <w:sz w:val="14"/>
                <w:szCs w:val="14"/>
                <w:lang w:eastAsia="ca-ES"/>
              </w:rPr>
              <w:t>1</w:t>
            </w:r>
          </w:p>
        </w:tc>
        <w:tc>
          <w:tcPr>
            <w:tcW w:w="1559" w:type="dxa"/>
            <w:tcBorders>
              <w:top w:val="nil"/>
              <w:left w:val="nil"/>
              <w:bottom w:val="single" w:sz="4" w:space="0" w:color="auto"/>
              <w:right w:val="single" w:sz="4" w:space="0" w:color="auto"/>
            </w:tcBorders>
            <w:noWrap/>
            <w:hideMark/>
          </w:tcPr>
          <w:p w:rsidR="002C794E" w:rsidRPr="0029458C" w:rsidRDefault="002C794E" w:rsidP="0029458C">
            <w:pPr>
              <w:spacing w:after="0"/>
              <w:rPr>
                <w:rFonts w:ascii="Garamond" w:hAnsi="Garamond"/>
                <w:b/>
                <w:bCs/>
                <w:sz w:val="14"/>
                <w:szCs w:val="14"/>
                <w:lang w:eastAsia="ca-ES"/>
              </w:rPr>
            </w:pPr>
            <w:r w:rsidRPr="0029458C">
              <w:rPr>
                <w:b/>
                <w:bCs/>
                <w:sz w:val="14"/>
                <w:szCs w:val="14"/>
                <w:lang w:eastAsia="ca-ES"/>
              </w:rPr>
              <w:t>Personal</w:t>
            </w:r>
          </w:p>
        </w:tc>
        <w:tc>
          <w:tcPr>
            <w:tcW w:w="992" w:type="dxa"/>
            <w:tcBorders>
              <w:top w:val="nil"/>
              <w:left w:val="nil"/>
              <w:bottom w:val="single" w:sz="4" w:space="0" w:color="auto"/>
              <w:right w:val="single" w:sz="4" w:space="0" w:color="auto"/>
            </w:tcBorders>
            <w:noWrap/>
            <w:hideMark/>
          </w:tcPr>
          <w:p w:rsidR="002C794E" w:rsidRPr="0029458C" w:rsidRDefault="002C794E" w:rsidP="0029458C">
            <w:pPr>
              <w:spacing w:after="0"/>
              <w:jc w:val="right"/>
              <w:rPr>
                <w:rFonts w:ascii="Garamond" w:hAnsi="Garamond"/>
                <w:b/>
                <w:bCs/>
                <w:sz w:val="14"/>
                <w:szCs w:val="14"/>
                <w:lang w:eastAsia="ca-ES"/>
              </w:rPr>
            </w:pPr>
            <w:r w:rsidRPr="0029458C">
              <w:rPr>
                <w:b/>
                <w:bCs/>
                <w:sz w:val="14"/>
                <w:szCs w:val="14"/>
                <w:lang w:eastAsia="ca-ES"/>
              </w:rPr>
              <w:t>268.309,25</w:t>
            </w:r>
          </w:p>
        </w:tc>
        <w:tc>
          <w:tcPr>
            <w:tcW w:w="851" w:type="dxa"/>
            <w:tcBorders>
              <w:top w:val="nil"/>
              <w:left w:val="nil"/>
              <w:bottom w:val="single" w:sz="4" w:space="0" w:color="auto"/>
              <w:right w:val="single" w:sz="4" w:space="0" w:color="auto"/>
            </w:tcBorders>
            <w:noWrap/>
            <w:hideMark/>
          </w:tcPr>
          <w:p w:rsidR="002C794E" w:rsidRPr="0029458C" w:rsidRDefault="002C794E" w:rsidP="0029458C">
            <w:pPr>
              <w:spacing w:after="0"/>
              <w:jc w:val="right"/>
              <w:rPr>
                <w:rFonts w:ascii="Garamond" w:hAnsi="Garamond"/>
                <w:b/>
                <w:bCs/>
                <w:sz w:val="14"/>
                <w:szCs w:val="14"/>
                <w:lang w:eastAsia="ca-ES"/>
              </w:rPr>
            </w:pPr>
            <w:r w:rsidRPr="0029458C">
              <w:rPr>
                <w:b/>
                <w:bCs/>
                <w:sz w:val="14"/>
                <w:szCs w:val="14"/>
                <w:lang w:eastAsia="ca-ES"/>
              </w:rPr>
              <w:t>268.309,25</w:t>
            </w:r>
          </w:p>
        </w:tc>
        <w:tc>
          <w:tcPr>
            <w:tcW w:w="992" w:type="dxa"/>
            <w:tcBorders>
              <w:top w:val="nil"/>
              <w:left w:val="nil"/>
              <w:bottom w:val="single" w:sz="4" w:space="0" w:color="auto"/>
              <w:right w:val="single" w:sz="4" w:space="0" w:color="auto"/>
            </w:tcBorders>
            <w:noWrap/>
            <w:hideMark/>
          </w:tcPr>
          <w:p w:rsidR="002C794E" w:rsidRPr="0029458C" w:rsidRDefault="002C794E" w:rsidP="0029458C">
            <w:pPr>
              <w:spacing w:after="0"/>
              <w:jc w:val="right"/>
              <w:rPr>
                <w:rFonts w:ascii="Garamond" w:hAnsi="Garamond"/>
                <w:b/>
                <w:bCs/>
                <w:sz w:val="14"/>
                <w:szCs w:val="14"/>
                <w:lang w:eastAsia="ca-ES"/>
              </w:rPr>
            </w:pPr>
            <w:r w:rsidRPr="0029458C">
              <w:rPr>
                <w:b/>
                <w:bCs/>
                <w:sz w:val="14"/>
                <w:szCs w:val="14"/>
                <w:lang w:eastAsia="ca-ES"/>
              </w:rPr>
              <w:t xml:space="preserve">                 -     </w:t>
            </w:r>
          </w:p>
        </w:tc>
      </w:tr>
      <w:tr w:rsidR="00283ABC" w:rsidRPr="00283ABC" w:rsidTr="0029458C">
        <w:trPr>
          <w:cantSplit/>
        </w:trPr>
        <w:tc>
          <w:tcPr>
            <w:tcW w:w="234" w:type="dxa"/>
            <w:tcBorders>
              <w:top w:val="nil"/>
              <w:left w:val="single" w:sz="4" w:space="0" w:color="auto"/>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100</w:t>
            </w:r>
          </w:p>
        </w:tc>
        <w:tc>
          <w:tcPr>
            <w:tcW w:w="1559" w:type="dxa"/>
            <w:tcBorders>
              <w:top w:val="nil"/>
              <w:left w:val="nil"/>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Retribucions bàsiques,</w:t>
            </w:r>
            <w:r w:rsidR="0029458C">
              <w:rPr>
                <w:sz w:val="14"/>
                <w:szCs w:val="14"/>
                <w:lang w:eastAsia="ca-ES"/>
              </w:rPr>
              <w:t xml:space="preserve"> </w:t>
            </w:r>
            <w:r w:rsidRPr="00283ABC">
              <w:rPr>
                <w:sz w:val="14"/>
                <w:szCs w:val="14"/>
                <w:lang w:eastAsia="ca-ES"/>
              </w:rPr>
              <w:t xml:space="preserve">altres remuneracions alts càrrecs </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250.627,20</w:t>
            </w:r>
          </w:p>
        </w:tc>
        <w:tc>
          <w:tcPr>
            <w:tcW w:w="851"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250.627,20</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 xml:space="preserve">                 -     </w:t>
            </w:r>
          </w:p>
        </w:tc>
      </w:tr>
      <w:tr w:rsidR="00283ABC" w:rsidRPr="00283ABC" w:rsidTr="0029458C">
        <w:trPr>
          <w:cantSplit/>
        </w:trPr>
        <w:tc>
          <w:tcPr>
            <w:tcW w:w="234" w:type="dxa"/>
            <w:tcBorders>
              <w:top w:val="nil"/>
              <w:left w:val="single" w:sz="4" w:space="0" w:color="auto"/>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110</w:t>
            </w:r>
          </w:p>
        </w:tc>
        <w:tc>
          <w:tcPr>
            <w:tcW w:w="1559" w:type="dxa"/>
            <w:tcBorders>
              <w:top w:val="nil"/>
              <w:left w:val="nil"/>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Personal contractual</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8.888,88</w:t>
            </w:r>
          </w:p>
        </w:tc>
        <w:tc>
          <w:tcPr>
            <w:tcW w:w="851"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8.888,88</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 xml:space="preserve">                 -     </w:t>
            </w:r>
          </w:p>
        </w:tc>
      </w:tr>
      <w:tr w:rsidR="00283ABC" w:rsidRPr="00283ABC" w:rsidTr="0029458C">
        <w:trPr>
          <w:cantSplit/>
        </w:trPr>
        <w:tc>
          <w:tcPr>
            <w:tcW w:w="234" w:type="dxa"/>
            <w:tcBorders>
              <w:top w:val="nil"/>
              <w:left w:val="single" w:sz="4" w:space="0" w:color="auto"/>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160</w:t>
            </w:r>
          </w:p>
        </w:tc>
        <w:tc>
          <w:tcPr>
            <w:tcW w:w="1559" w:type="dxa"/>
            <w:tcBorders>
              <w:top w:val="nil"/>
              <w:left w:val="nil"/>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Quotes seguretat social personal contractual</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8.793,17</w:t>
            </w:r>
          </w:p>
        </w:tc>
        <w:tc>
          <w:tcPr>
            <w:tcW w:w="851"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8.793,17</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 xml:space="preserve">                 -     </w:t>
            </w:r>
          </w:p>
        </w:tc>
      </w:tr>
      <w:tr w:rsidR="00283ABC" w:rsidRPr="0029458C" w:rsidTr="0029458C">
        <w:trPr>
          <w:cantSplit/>
        </w:trPr>
        <w:tc>
          <w:tcPr>
            <w:tcW w:w="234" w:type="dxa"/>
            <w:tcBorders>
              <w:top w:val="nil"/>
              <w:left w:val="single" w:sz="4" w:space="0" w:color="auto"/>
              <w:bottom w:val="single" w:sz="4" w:space="0" w:color="auto"/>
              <w:right w:val="single" w:sz="4" w:space="0" w:color="auto"/>
            </w:tcBorders>
            <w:noWrap/>
            <w:hideMark/>
          </w:tcPr>
          <w:p w:rsidR="002C794E" w:rsidRPr="0029458C" w:rsidRDefault="002C794E" w:rsidP="0029458C">
            <w:pPr>
              <w:spacing w:after="0"/>
              <w:rPr>
                <w:rFonts w:ascii="Garamond" w:hAnsi="Garamond"/>
                <w:b/>
                <w:sz w:val="14"/>
                <w:szCs w:val="14"/>
                <w:lang w:eastAsia="ca-ES"/>
              </w:rPr>
            </w:pPr>
            <w:r w:rsidRPr="0029458C">
              <w:rPr>
                <w:b/>
                <w:sz w:val="14"/>
                <w:szCs w:val="14"/>
                <w:lang w:eastAsia="ca-ES"/>
              </w:rPr>
              <w:t>2</w:t>
            </w:r>
          </w:p>
        </w:tc>
        <w:tc>
          <w:tcPr>
            <w:tcW w:w="1559" w:type="dxa"/>
            <w:tcBorders>
              <w:top w:val="nil"/>
              <w:left w:val="nil"/>
              <w:bottom w:val="single" w:sz="4" w:space="0" w:color="auto"/>
              <w:right w:val="single" w:sz="4" w:space="0" w:color="auto"/>
            </w:tcBorders>
            <w:noWrap/>
            <w:hideMark/>
          </w:tcPr>
          <w:p w:rsidR="002C794E" w:rsidRPr="0029458C" w:rsidRDefault="002C794E" w:rsidP="0029458C">
            <w:pPr>
              <w:spacing w:after="0"/>
              <w:rPr>
                <w:rFonts w:ascii="Garamond" w:hAnsi="Garamond"/>
                <w:b/>
                <w:bCs/>
                <w:sz w:val="14"/>
                <w:szCs w:val="14"/>
                <w:lang w:eastAsia="ca-ES"/>
              </w:rPr>
            </w:pPr>
            <w:r w:rsidRPr="0029458C">
              <w:rPr>
                <w:b/>
                <w:bCs/>
                <w:sz w:val="14"/>
                <w:szCs w:val="14"/>
                <w:lang w:eastAsia="ca-ES"/>
              </w:rPr>
              <w:t>Consum de béns corrents i serveis</w:t>
            </w:r>
          </w:p>
        </w:tc>
        <w:tc>
          <w:tcPr>
            <w:tcW w:w="992" w:type="dxa"/>
            <w:tcBorders>
              <w:top w:val="nil"/>
              <w:left w:val="nil"/>
              <w:bottom w:val="single" w:sz="4" w:space="0" w:color="auto"/>
              <w:right w:val="single" w:sz="4" w:space="0" w:color="auto"/>
            </w:tcBorders>
            <w:noWrap/>
            <w:hideMark/>
          </w:tcPr>
          <w:p w:rsidR="002C794E" w:rsidRPr="0029458C" w:rsidRDefault="002C794E" w:rsidP="0029458C">
            <w:pPr>
              <w:spacing w:after="0"/>
              <w:jc w:val="right"/>
              <w:rPr>
                <w:rFonts w:ascii="Garamond" w:hAnsi="Garamond"/>
                <w:b/>
                <w:bCs/>
                <w:sz w:val="14"/>
                <w:szCs w:val="14"/>
                <w:lang w:eastAsia="ca-ES"/>
              </w:rPr>
            </w:pPr>
            <w:r w:rsidRPr="0029458C">
              <w:rPr>
                <w:b/>
                <w:bCs/>
                <w:sz w:val="14"/>
                <w:szCs w:val="14"/>
                <w:lang w:eastAsia="ca-ES"/>
              </w:rPr>
              <w:t>14.821.994,20</w:t>
            </w:r>
          </w:p>
        </w:tc>
        <w:tc>
          <w:tcPr>
            <w:tcW w:w="851" w:type="dxa"/>
            <w:tcBorders>
              <w:top w:val="nil"/>
              <w:left w:val="nil"/>
              <w:bottom w:val="single" w:sz="4" w:space="0" w:color="auto"/>
              <w:right w:val="single" w:sz="4" w:space="0" w:color="auto"/>
            </w:tcBorders>
            <w:noWrap/>
            <w:hideMark/>
          </w:tcPr>
          <w:p w:rsidR="002C794E" w:rsidRPr="0029458C" w:rsidRDefault="002C794E" w:rsidP="0029458C">
            <w:pPr>
              <w:spacing w:after="0"/>
              <w:jc w:val="right"/>
              <w:rPr>
                <w:rFonts w:ascii="Garamond" w:hAnsi="Garamond"/>
                <w:b/>
                <w:bCs/>
                <w:sz w:val="14"/>
                <w:szCs w:val="14"/>
                <w:lang w:eastAsia="ca-ES"/>
              </w:rPr>
            </w:pPr>
            <w:r w:rsidRPr="0029458C">
              <w:rPr>
                <w:b/>
                <w:bCs/>
                <w:sz w:val="14"/>
                <w:szCs w:val="14"/>
                <w:lang w:eastAsia="ca-ES"/>
              </w:rPr>
              <w:t>409.949,71</w:t>
            </w:r>
          </w:p>
        </w:tc>
        <w:tc>
          <w:tcPr>
            <w:tcW w:w="992" w:type="dxa"/>
            <w:tcBorders>
              <w:top w:val="nil"/>
              <w:left w:val="nil"/>
              <w:bottom w:val="single" w:sz="4" w:space="0" w:color="auto"/>
              <w:right w:val="single" w:sz="4" w:space="0" w:color="auto"/>
            </w:tcBorders>
            <w:noWrap/>
            <w:hideMark/>
          </w:tcPr>
          <w:p w:rsidR="002C794E" w:rsidRPr="0029458C" w:rsidRDefault="002C794E" w:rsidP="0029458C">
            <w:pPr>
              <w:spacing w:after="0"/>
              <w:jc w:val="right"/>
              <w:rPr>
                <w:rFonts w:ascii="Garamond" w:hAnsi="Garamond"/>
                <w:b/>
                <w:bCs/>
                <w:sz w:val="14"/>
                <w:szCs w:val="14"/>
                <w:lang w:eastAsia="ca-ES"/>
              </w:rPr>
            </w:pPr>
            <w:r w:rsidRPr="0029458C">
              <w:rPr>
                <w:b/>
                <w:bCs/>
                <w:sz w:val="14"/>
                <w:szCs w:val="14"/>
                <w:lang w:eastAsia="ca-ES"/>
              </w:rPr>
              <w:t>14.412.044,49</w:t>
            </w:r>
          </w:p>
        </w:tc>
      </w:tr>
      <w:tr w:rsidR="00283ABC" w:rsidRPr="00283ABC" w:rsidTr="0029458C">
        <w:trPr>
          <w:cantSplit/>
        </w:trPr>
        <w:tc>
          <w:tcPr>
            <w:tcW w:w="234" w:type="dxa"/>
            <w:tcBorders>
              <w:top w:val="nil"/>
              <w:left w:val="single" w:sz="4" w:space="0" w:color="auto"/>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202</w:t>
            </w:r>
          </w:p>
        </w:tc>
        <w:tc>
          <w:tcPr>
            <w:tcW w:w="1559" w:type="dxa"/>
            <w:tcBorders>
              <w:top w:val="nil"/>
              <w:left w:val="nil"/>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Lloguer edificis i altres construccions</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10.000,65</w:t>
            </w:r>
          </w:p>
        </w:tc>
        <w:tc>
          <w:tcPr>
            <w:tcW w:w="851"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10.000,65</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 xml:space="preserve">                 -     </w:t>
            </w:r>
          </w:p>
        </w:tc>
      </w:tr>
      <w:tr w:rsidR="00283ABC" w:rsidRPr="00283ABC" w:rsidTr="0029458C">
        <w:trPr>
          <w:cantSplit/>
        </w:trPr>
        <w:tc>
          <w:tcPr>
            <w:tcW w:w="234" w:type="dxa"/>
            <w:tcBorders>
              <w:top w:val="nil"/>
              <w:left w:val="single" w:sz="4" w:space="0" w:color="auto"/>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206</w:t>
            </w:r>
          </w:p>
        </w:tc>
        <w:tc>
          <w:tcPr>
            <w:tcW w:w="1559" w:type="dxa"/>
            <w:tcBorders>
              <w:top w:val="nil"/>
              <w:left w:val="nil"/>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Lloguer d'equipaments per a informació</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468,16</w:t>
            </w:r>
          </w:p>
        </w:tc>
        <w:tc>
          <w:tcPr>
            <w:tcW w:w="851"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468,16</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 xml:space="preserve">                 -     </w:t>
            </w:r>
          </w:p>
        </w:tc>
      </w:tr>
      <w:tr w:rsidR="00283ABC" w:rsidRPr="00283ABC" w:rsidTr="0029458C">
        <w:trPr>
          <w:cantSplit/>
        </w:trPr>
        <w:tc>
          <w:tcPr>
            <w:tcW w:w="234" w:type="dxa"/>
            <w:tcBorders>
              <w:top w:val="nil"/>
              <w:left w:val="single" w:sz="4" w:space="0" w:color="auto"/>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212</w:t>
            </w:r>
          </w:p>
        </w:tc>
        <w:tc>
          <w:tcPr>
            <w:tcW w:w="1559" w:type="dxa"/>
            <w:tcBorders>
              <w:top w:val="nil"/>
              <w:left w:val="nil"/>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Reparació i conservació d'edificis i altres construccions</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67.670,66</w:t>
            </w:r>
          </w:p>
        </w:tc>
        <w:tc>
          <w:tcPr>
            <w:tcW w:w="851"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67.670,66</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 xml:space="preserve">                 -     </w:t>
            </w:r>
          </w:p>
        </w:tc>
      </w:tr>
      <w:tr w:rsidR="00283ABC" w:rsidRPr="00283ABC" w:rsidTr="0029458C">
        <w:trPr>
          <w:cantSplit/>
        </w:trPr>
        <w:tc>
          <w:tcPr>
            <w:tcW w:w="234" w:type="dxa"/>
            <w:tcBorders>
              <w:top w:val="nil"/>
              <w:left w:val="single" w:sz="4" w:space="0" w:color="auto"/>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216</w:t>
            </w:r>
          </w:p>
        </w:tc>
        <w:tc>
          <w:tcPr>
            <w:tcW w:w="1559" w:type="dxa"/>
            <w:tcBorders>
              <w:top w:val="nil"/>
              <w:left w:val="nil"/>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Reparació i conservació material informàtic</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210,00</w:t>
            </w:r>
          </w:p>
        </w:tc>
        <w:tc>
          <w:tcPr>
            <w:tcW w:w="851"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210,00</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 xml:space="preserve">                 -     </w:t>
            </w:r>
          </w:p>
        </w:tc>
      </w:tr>
      <w:tr w:rsidR="00283ABC" w:rsidRPr="00283ABC" w:rsidTr="0029458C">
        <w:trPr>
          <w:cantSplit/>
        </w:trPr>
        <w:tc>
          <w:tcPr>
            <w:tcW w:w="234" w:type="dxa"/>
            <w:tcBorders>
              <w:top w:val="nil"/>
              <w:left w:val="single" w:sz="4" w:space="0" w:color="auto"/>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220</w:t>
            </w:r>
          </w:p>
        </w:tc>
        <w:tc>
          <w:tcPr>
            <w:tcW w:w="1559" w:type="dxa"/>
            <w:tcBorders>
              <w:top w:val="nil"/>
              <w:left w:val="nil"/>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Material d’oficina</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996,38</w:t>
            </w:r>
          </w:p>
        </w:tc>
        <w:tc>
          <w:tcPr>
            <w:tcW w:w="851"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996,38</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 xml:space="preserve">                 -     </w:t>
            </w:r>
          </w:p>
        </w:tc>
      </w:tr>
      <w:tr w:rsidR="00283ABC" w:rsidRPr="00283ABC" w:rsidTr="0029458C">
        <w:trPr>
          <w:cantSplit/>
        </w:trPr>
        <w:tc>
          <w:tcPr>
            <w:tcW w:w="234" w:type="dxa"/>
            <w:tcBorders>
              <w:top w:val="nil"/>
              <w:left w:val="single" w:sz="4" w:space="0" w:color="auto"/>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221</w:t>
            </w:r>
          </w:p>
        </w:tc>
        <w:tc>
          <w:tcPr>
            <w:tcW w:w="1559" w:type="dxa"/>
            <w:tcBorders>
              <w:top w:val="nil"/>
              <w:left w:val="nil"/>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Subministraments</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1.335,00</w:t>
            </w:r>
          </w:p>
        </w:tc>
        <w:tc>
          <w:tcPr>
            <w:tcW w:w="851"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1.335,00</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 xml:space="preserve">                 -     </w:t>
            </w:r>
          </w:p>
        </w:tc>
      </w:tr>
      <w:tr w:rsidR="00283ABC" w:rsidRPr="00283ABC" w:rsidTr="0029458C">
        <w:trPr>
          <w:cantSplit/>
        </w:trPr>
        <w:tc>
          <w:tcPr>
            <w:tcW w:w="234" w:type="dxa"/>
            <w:tcBorders>
              <w:top w:val="nil"/>
              <w:left w:val="single" w:sz="4" w:space="0" w:color="auto"/>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222</w:t>
            </w:r>
          </w:p>
        </w:tc>
        <w:tc>
          <w:tcPr>
            <w:tcW w:w="1559" w:type="dxa"/>
            <w:tcBorders>
              <w:top w:val="nil"/>
              <w:left w:val="nil"/>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Comunicacions</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2.272,08</w:t>
            </w:r>
          </w:p>
        </w:tc>
        <w:tc>
          <w:tcPr>
            <w:tcW w:w="851"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2.272,08</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 xml:space="preserve">                 -     </w:t>
            </w:r>
          </w:p>
        </w:tc>
      </w:tr>
      <w:tr w:rsidR="00283ABC" w:rsidRPr="00283ABC" w:rsidTr="0029458C">
        <w:trPr>
          <w:cantSplit/>
        </w:trPr>
        <w:tc>
          <w:tcPr>
            <w:tcW w:w="234" w:type="dxa"/>
            <w:tcBorders>
              <w:top w:val="nil"/>
              <w:left w:val="single" w:sz="4" w:space="0" w:color="auto"/>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223</w:t>
            </w:r>
          </w:p>
        </w:tc>
        <w:tc>
          <w:tcPr>
            <w:tcW w:w="1559" w:type="dxa"/>
            <w:tcBorders>
              <w:top w:val="nil"/>
              <w:left w:val="nil"/>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Transports</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500,00</w:t>
            </w:r>
          </w:p>
        </w:tc>
        <w:tc>
          <w:tcPr>
            <w:tcW w:w="851"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500,00</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 xml:space="preserve">                 -     </w:t>
            </w:r>
          </w:p>
        </w:tc>
      </w:tr>
      <w:tr w:rsidR="00283ABC" w:rsidRPr="00283ABC" w:rsidTr="0029458C">
        <w:trPr>
          <w:cantSplit/>
        </w:trPr>
        <w:tc>
          <w:tcPr>
            <w:tcW w:w="234" w:type="dxa"/>
            <w:tcBorders>
              <w:top w:val="nil"/>
              <w:left w:val="single" w:sz="4" w:space="0" w:color="auto"/>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224</w:t>
            </w:r>
          </w:p>
        </w:tc>
        <w:tc>
          <w:tcPr>
            <w:tcW w:w="1559" w:type="dxa"/>
            <w:tcBorders>
              <w:top w:val="nil"/>
              <w:left w:val="nil"/>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Primes d'assegurances</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600,00</w:t>
            </w:r>
          </w:p>
        </w:tc>
        <w:tc>
          <w:tcPr>
            <w:tcW w:w="851"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600,00</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 xml:space="preserve">                 -     </w:t>
            </w:r>
          </w:p>
        </w:tc>
      </w:tr>
      <w:tr w:rsidR="00283ABC" w:rsidRPr="00283ABC" w:rsidTr="0029458C">
        <w:trPr>
          <w:cantSplit/>
        </w:trPr>
        <w:tc>
          <w:tcPr>
            <w:tcW w:w="234" w:type="dxa"/>
            <w:tcBorders>
              <w:top w:val="nil"/>
              <w:left w:val="single" w:sz="4" w:space="0" w:color="auto"/>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227</w:t>
            </w:r>
          </w:p>
        </w:tc>
        <w:tc>
          <w:tcPr>
            <w:tcW w:w="1559" w:type="dxa"/>
            <w:tcBorders>
              <w:top w:val="nil"/>
              <w:left w:val="nil"/>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Treballs realitzats per empreses, estudis i treballs tècnics</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14.562.261,27</w:t>
            </w:r>
          </w:p>
        </w:tc>
        <w:tc>
          <w:tcPr>
            <w:tcW w:w="851"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150.216,78</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14.412.044,49</w:t>
            </w:r>
          </w:p>
        </w:tc>
      </w:tr>
      <w:tr w:rsidR="00283ABC" w:rsidRPr="00283ABC" w:rsidTr="0029458C">
        <w:trPr>
          <w:cantSplit/>
        </w:trPr>
        <w:tc>
          <w:tcPr>
            <w:tcW w:w="234" w:type="dxa"/>
            <w:tcBorders>
              <w:top w:val="nil"/>
              <w:left w:val="single" w:sz="4" w:space="0" w:color="auto"/>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230</w:t>
            </w:r>
          </w:p>
        </w:tc>
        <w:tc>
          <w:tcPr>
            <w:tcW w:w="1559" w:type="dxa"/>
            <w:tcBorders>
              <w:top w:val="nil"/>
              <w:left w:val="nil"/>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Reemborsament de dietes</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72.180,00</w:t>
            </w:r>
          </w:p>
        </w:tc>
        <w:tc>
          <w:tcPr>
            <w:tcW w:w="851"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72.180,00</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 xml:space="preserve">                 -     </w:t>
            </w:r>
          </w:p>
        </w:tc>
      </w:tr>
      <w:tr w:rsidR="00283ABC" w:rsidRPr="00283ABC" w:rsidTr="0029458C">
        <w:trPr>
          <w:cantSplit/>
        </w:trPr>
        <w:tc>
          <w:tcPr>
            <w:tcW w:w="234" w:type="dxa"/>
            <w:tcBorders>
              <w:top w:val="nil"/>
              <w:left w:val="single" w:sz="4" w:space="0" w:color="auto"/>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231</w:t>
            </w:r>
          </w:p>
        </w:tc>
        <w:tc>
          <w:tcPr>
            <w:tcW w:w="1559" w:type="dxa"/>
            <w:tcBorders>
              <w:top w:val="nil"/>
              <w:left w:val="nil"/>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Locomoció</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103.500,00</w:t>
            </w:r>
          </w:p>
        </w:tc>
        <w:tc>
          <w:tcPr>
            <w:tcW w:w="851"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103.500,00</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 xml:space="preserve">                 -     </w:t>
            </w:r>
          </w:p>
        </w:tc>
      </w:tr>
      <w:tr w:rsidR="00283ABC" w:rsidRPr="00283ABC" w:rsidTr="0029458C">
        <w:trPr>
          <w:cantSplit/>
        </w:trPr>
        <w:tc>
          <w:tcPr>
            <w:tcW w:w="234" w:type="dxa"/>
            <w:tcBorders>
              <w:top w:val="nil"/>
              <w:left w:val="single" w:sz="4" w:space="0" w:color="auto"/>
              <w:bottom w:val="single" w:sz="4" w:space="0" w:color="auto"/>
              <w:right w:val="single" w:sz="4" w:space="0" w:color="auto"/>
            </w:tcBorders>
            <w:noWrap/>
            <w:hideMark/>
          </w:tcPr>
          <w:p w:rsidR="002C794E" w:rsidRPr="0029458C" w:rsidRDefault="002C794E" w:rsidP="0029458C">
            <w:pPr>
              <w:spacing w:after="0"/>
              <w:rPr>
                <w:rFonts w:ascii="Garamond" w:hAnsi="Garamond"/>
                <w:b/>
                <w:sz w:val="14"/>
                <w:szCs w:val="14"/>
                <w:lang w:eastAsia="ca-ES"/>
              </w:rPr>
            </w:pPr>
            <w:r w:rsidRPr="0029458C">
              <w:rPr>
                <w:b/>
                <w:sz w:val="14"/>
                <w:szCs w:val="14"/>
                <w:lang w:eastAsia="ca-ES"/>
              </w:rPr>
              <w:t>3</w:t>
            </w:r>
          </w:p>
        </w:tc>
        <w:tc>
          <w:tcPr>
            <w:tcW w:w="1559" w:type="dxa"/>
            <w:tcBorders>
              <w:top w:val="nil"/>
              <w:left w:val="nil"/>
              <w:bottom w:val="single" w:sz="4" w:space="0" w:color="auto"/>
              <w:right w:val="single" w:sz="4" w:space="0" w:color="auto"/>
            </w:tcBorders>
            <w:noWrap/>
            <w:hideMark/>
          </w:tcPr>
          <w:p w:rsidR="002C794E" w:rsidRPr="00283ABC" w:rsidRDefault="002C794E" w:rsidP="0029458C">
            <w:pPr>
              <w:spacing w:after="0"/>
              <w:rPr>
                <w:rFonts w:ascii="Garamond" w:hAnsi="Garamond"/>
                <w:b/>
                <w:bCs/>
                <w:sz w:val="14"/>
                <w:szCs w:val="14"/>
                <w:lang w:eastAsia="ca-ES"/>
              </w:rPr>
            </w:pPr>
            <w:r w:rsidRPr="00283ABC">
              <w:rPr>
                <w:b/>
                <w:bCs/>
                <w:sz w:val="14"/>
                <w:szCs w:val="14"/>
                <w:lang w:eastAsia="ca-ES"/>
              </w:rPr>
              <w:t>Despeses financeres</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b/>
                <w:bCs/>
                <w:sz w:val="14"/>
                <w:szCs w:val="14"/>
                <w:lang w:eastAsia="ca-ES"/>
              </w:rPr>
            </w:pPr>
            <w:r w:rsidRPr="00283ABC">
              <w:rPr>
                <w:b/>
                <w:bCs/>
                <w:sz w:val="14"/>
                <w:szCs w:val="14"/>
                <w:lang w:eastAsia="ca-ES"/>
              </w:rPr>
              <w:t>2.100,00</w:t>
            </w:r>
          </w:p>
        </w:tc>
        <w:tc>
          <w:tcPr>
            <w:tcW w:w="851"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b/>
                <w:bCs/>
                <w:sz w:val="14"/>
                <w:szCs w:val="14"/>
                <w:lang w:eastAsia="ca-ES"/>
              </w:rPr>
            </w:pPr>
            <w:r w:rsidRPr="00283ABC">
              <w:rPr>
                <w:b/>
                <w:bCs/>
                <w:sz w:val="14"/>
                <w:szCs w:val="14"/>
                <w:lang w:eastAsia="ca-ES"/>
              </w:rPr>
              <w:t>2.100,00</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b/>
                <w:bCs/>
                <w:sz w:val="14"/>
                <w:szCs w:val="14"/>
                <w:lang w:eastAsia="ca-ES"/>
              </w:rPr>
            </w:pPr>
            <w:r w:rsidRPr="00283ABC">
              <w:rPr>
                <w:b/>
                <w:bCs/>
                <w:sz w:val="14"/>
                <w:szCs w:val="14"/>
                <w:lang w:eastAsia="ca-ES"/>
              </w:rPr>
              <w:t xml:space="preserve">                 -     </w:t>
            </w:r>
          </w:p>
        </w:tc>
      </w:tr>
      <w:tr w:rsidR="00283ABC" w:rsidRPr="00283ABC" w:rsidTr="0029458C">
        <w:trPr>
          <w:cantSplit/>
        </w:trPr>
        <w:tc>
          <w:tcPr>
            <w:tcW w:w="234" w:type="dxa"/>
            <w:tcBorders>
              <w:top w:val="nil"/>
              <w:left w:val="single" w:sz="4" w:space="0" w:color="auto"/>
              <w:bottom w:val="single" w:sz="4" w:space="0" w:color="auto"/>
              <w:right w:val="single" w:sz="4" w:space="0" w:color="auto"/>
            </w:tcBorders>
            <w:noWrap/>
            <w:hideMark/>
          </w:tcPr>
          <w:p w:rsidR="002C794E" w:rsidRPr="0029458C" w:rsidRDefault="002C794E" w:rsidP="0029458C">
            <w:pPr>
              <w:spacing w:after="0"/>
              <w:rPr>
                <w:rFonts w:ascii="Garamond" w:hAnsi="Garamond"/>
                <w:b/>
                <w:sz w:val="14"/>
                <w:szCs w:val="14"/>
                <w:lang w:eastAsia="ca-ES"/>
              </w:rPr>
            </w:pPr>
            <w:r w:rsidRPr="0029458C">
              <w:rPr>
                <w:b/>
                <w:sz w:val="14"/>
                <w:szCs w:val="14"/>
                <w:lang w:eastAsia="ca-ES"/>
              </w:rPr>
              <w:t>6</w:t>
            </w:r>
          </w:p>
        </w:tc>
        <w:tc>
          <w:tcPr>
            <w:tcW w:w="1559" w:type="dxa"/>
            <w:tcBorders>
              <w:top w:val="nil"/>
              <w:left w:val="nil"/>
              <w:bottom w:val="single" w:sz="4" w:space="0" w:color="auto"/>
              <w:right w:val="single" w:sz="4" w:space="0" w:color="auto"/>
            </w:tcBorders>
            <w:noWrap/>
            <w:hideMark/>
          </w:tcPr>
          <w:p w:rsidR="002C794E" w:rsidRPr="00283ABC" w:rsidRDefault="002C794E" w:rsidP="0029458C">
            <w:pPr>
              <w:spacing w:after="0"/>
              <w:rPr>
                <w:rFonts w:ascii="Garamond" w:hAnsi="Garamond"/>
                <w:b/>
                <w:bCs/>
                <w:sz w:val="14"/>
                <w:szCs w:val="14"/>
                <w:lang w:eastAsia="ca-ES"/>
              </w:rPr>
            </w:pPr>
            <w:r w:rsidRPr="00283ABC">
              <w:rPr>
                <w:b/>
                <w:bCs/>
                <w:sz w:val="14"/>
                <w:szCs w:val="14"/>
                <w:lang w:eastAsia="ca-ES"/>
              </w:rPr>
              <w:t>Inversió real</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b/>
                <w:bCs/>
                <w:sz w:val="14"/>
                <w:szCs w:val="14"/>
                <w:lang w:eastAsia="ca-ES"/>
              </w:rPr>
            </w:pPr>
            <w:r w:rsidRPr="00283ABC">
              <w:rPr>
                <w:b/>
                <w:bCs/>
                <w:sz w:val="14"/>
                <w:szCs w:val="14"/>
                <w:lang w:eastAsia="ca-ES"/>
              </w:rPr>
              <w:t>20.155,10</w:t>
            </w:r>
          </w:p>
        </w:tc>
        <w:tc>
          <w:tcPr>
            <w:tcW w:w="851"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b/>
                <w:bCs/>
                <w:sz w:val="14"/>
                <w:szCs w:val="14"/>
                <w:lang w:eastAsia="ca-ES"/>
              </w:rPr>
            </w:pPr>
            <w:r w:rsidRPr="00283ABC">
              <w:rPr>
                <w:b/>
                <w:bCs/>
                <w:sz w:val="14"/>
                <w:szCs w:val="14"/>
                <w:lang w:eastAsia="ca-ES"/>
              </w:rPr>
              <w:t>20.155,10</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b/>
                <w:bCs/>
                <w:sz w:val="14"/>
                <w:szCs w:val="14"/>
                <w:lang w:eastAsia="ca-ES"/>
              </w:rPr>
            </w:pPr>
            <w:r w:rsidRPr="00283ABC">
              <w:rPr>
                <w:b/>
                <w:bCs/>
                <w:sz w:val="14"/>
                <w:szCs w:val="14"/>
                <w:lang w:eastAsia="ca-ES"/>
              </w:rPr>
              <w:t xml:space="preserve">                 -     </w:t>
            </w:r>
          </w:p>
        </w:tc>
      </w:tr>
      <w:tr w:rsidR="00283ABC" w:rsidRPr="00283ABC" w:rsidTr="0029458C">
        <w:trPr>
          <w:cantSplit/>
        </w:trPr>
        <w:tc>
          <w:tcPr>
            <w:tcW w:w="234" w:type="dxa"/>
            <w:tcBorders>
              <w:top w:val="nil"/>
              <w:left w:val="single" w:sz="4" w:space="0" w:color="auto"/>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603</w:t>
            </w:r>
          </w:p>
        </w:tc>
        <w:tc>
          <w:tcPr>
            <w:tcW w:w="1559" w:type="dxa"/>
            <w:tcBorders>
              <w:top w:val="nil"/>
              <w:left w:val="nil"/>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Maquinària, instal·lacions i equipament</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444,13</w:t>
            </w:r>
          </w:p>
        </w:tc>
        <w:tc>
          <w:tcPr>
            <w:tcW w:w="851"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444,13</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 xml:space="preserve">                 -     </w:t>
            </w:r>
          </w:p>
        </w:tc>
      </w:tr>
      <w:tr w:rsidR="00283ABC" w:rsidRPr="00283ABC" w:rsidTr="0029458C">
        <w:trPr>
          <w:cantSplit/>
        </w:trPr>
        <w:tc>
          <w:tcPr>
            <w:tcW w:w="234" w:type="dxa"/>
            <w:tcBorders>
              <w:top w:val="nil"/>
              <w:left w:val="single" w:sz="4" w:space="0" w:color="auto"/>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605</w:t>
            </w:r>
          </w:p>
        </w:tc>
        <w:tc>
          <w:tcPr>
            <w:tcW w:w="1559" w:type="dxa"/>
            <w:tcBorders>
              <w:top w:val="nil"/>
              <w:left w:val="nil"/>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Mobiliari i estris</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17.171,62</w:t>
            </w:r>
          </w:p>
        </w:tc>
        <w:tc>
          <w:tcPr>
            <w:tcW w:w="851"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17.171,62</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 xml:space="preserve">                 -     </w:t>
            </w:r>
          </w:p>
        </w:tc>
      </w:tr>
      <w:tr w:rsidR="00283ABC" w:rsidRPr="00283ABC" w:rsidTr="0029458C">
        <w:trPr>
          <w:cantSplit/>
        </w:trPr>
        <w:tc>
          <w:tcPr>
            <w:tcW w:w="234" w:type="dxa"/>
            <w:tcBorders>
              <w:top w:val="nil"/>
              <w:left w:val="single" w:sz="4" w:space="0" w:color="auto"/>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606</w:t>
            </w:r>
          </w:p>
        </w:tc>
        <w:tc>
          <w:tcPr>
            <w:tcW w:w="1559" w:type="dxa"/>
            <w:tcBorders>
              <w:top w:val="nil"/>
              <w:left w:val="nil"/>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Equipament processos d’informació</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2.121,35</w:t>
            </w:r>
          </w:p>
        </w:tc>
        <w:tc>
          <w:tcPr>
            <w:tcW w:w="851"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2.121,35</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 xml:space="preserve">                 -     </w:t>
            </w:r>
          </w:p>
        </w:tc>
      </w:tr>
      <w:tr w:rsidR="00283ABC" w:rsidRPr="00283ABC" w:rsidTr="0029458C">
        <w:trPr>
          <w:cantSplit/>
        </w:trPr>
        <w:tc>
          <w:tcPr>
            <w:tcW w:w="234" w:type="dxa"/>
            <w:tcBorders>
              <w:top w:val="nil"/>
              <w:left w:val="single" w:sz="4" w:space="0" w:color="auto"/>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640</w:t>
            </w:r>
          </w:p>
        </w:tc>
        <w:tc>
          <w:tcPr>
            <w:tcW w:w="1559" w:type="dxa"/>
            <w:tcBorders>
              <w:top w:val="nil"/>
              <w:left w:val="nil"/>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Immobilitzat immaterial</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418,00</w:t>
            </w:r>
          </w:p>
        </w:tc>
        <w:tc>
          <w:tcPr>
            <w:tcW w:w="851"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418,00</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 xml:space="preserve">                 -     </w:t>
            </w:r>
          </w:p>
        </w:tc>
      </w:tr>
      <w:tr w:rsidR="00283ABC" w:rsidRPr="00283ABC" w:rsidTr="0029458C">
        <w:trPr>
          <w:cantSplit/>
        </w:trPr>
        <w:tc>
          <w:tcPr>
            <w:tcW w:w="234" w:type="dxa"/>
            <w:tcBorders>
              <w:top w:val="nil"/>
              <w:left w:val="single" w:sz="4" w:space="0" w:color="auto"/>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 </w:t>
            </w:r>
          </w:p>
        </w:tc>
        <w:tc>
          <w:tcPr>
            <w:tcW w:w="1559" w:type="dxa"/>
            <w:tcBorders>
              <w:top w:val="nil"/>
              <w:left w:val="nil"/>
              <w:bottom w:val="single" w:sz="4" w:space="0" w:color="auto"/>
              <w:right w:val="single" w:sz="4" w:space="0" w:color="auto"/>
            </w:tcBorders>
            <w:noWrap/>
            <w:hideMark/>
          </w:tcPr>
          <w:p w:rsidR="002C794E" w:rsidRPr="00283ABC" w:rsidRDefault="002C794E" w:rsidP="0029458C">
            <w:pPr>
              <w:spacing w:after="0"/>
              <w:rPr>
                <w:rFonts w:ascii="Garamond" w:hAnsi="Garamond"/>
                <w:b/>
                <w:bCs/>
                <w:sz w:val="14"/>
                <w:szCs w:val="14"/>
                <w:lang w:eastAsia="ca-ES"/>
              </w:rPr>
            </w:pPr>
            <w:r w:rsidRPr="00283ABC">
              <w:rPr>
                <w:b/>
                <w:bCs/>
                <w:sz w:val="14"/>
                <w:szCs w:val="14"/>
                <w:lang w:eastAsia="ca-ES"/>
              </w:rPr>
              <w:t>Total pressupost de despeses</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b/>
                <w:bCs/>
                <w:sz w:val="14"/>
                <w:szCs w:val="14"/>
                <w:lang w:eastAsia="ca-ES"/>
              </w:rPr>
            </w:pPr>
            <w:r w:rsidRPr="00283ABC">
              <w:rPr>
                <w:b/>
                <w:bCs/>
                <w:sz w:val="14"/>
                <w:szCs w:val="14"/>
                <w:lang w:eastAsia="ca-ES"/>
              </w:rPr>
              <w:t>15.112.558,55</w:t>
            </w:r>
          </w:p>
        </w:tc>
        <w:tc>
          <w:tcPr>
            <w:tcW w:w="851"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b/>
                <w:bCs/>
                <w:sz w:val="14"/>
                <w:szCs w:val="14"/>
                <w:lang w:eastAsia="ca-ES"/>
              </w:rPr>
            </w:pPr>
            <w:r w:rsidRPr="00283ABC">
              <w:rPr>
                <w:b/>
                <w:bCs/>
                <w:sz w:val="14"/>
                <w:szCs w:val="14"/>
                <w:lang w:eastAsia="ca-ES"/>
              </w:rPr>
              <w:t>700.514,06</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b/>
                <w:bCs/>
                <w:sz w:val="14"/>
                <w:szCs w:val="14"/>
                <w:lang w:eastAsia="ca-ES"/>
              </w:rPr>
            </w:pPr>
            <w:r w:rsidRPr="00283ABC">
              <w:rPr>
                <w:b/>
                <w:bCs/>
                <w:sz w:val="14"/>
                <w:szCs w:val="14"/>
                <w:lang w:eastAsia="ca-ES"/>
              </w:rPr>
              <w:t>14.412.044,49</w:t>
            </w:r>
          </w:p>
        </w:tc>
      </w:tr>
    </w:tbl>
    <w:p w:rsidR="002C794E" w:rsidRDefault="002C794E" w:rsidP="00283ABC">
      <w:pPr>
        <w:pStyle w:val="normal1"/>
        <w:keepNext/>
        <w:spacing w:before="360"/>
        <w:rPr>
          <w:rFonts w:ascii="Garamond" w:hAnsi="Garamond"/>
          <w:sz w:val="28"/>
        </w:rPr>
      </w:pPr>
      <w:r>
        <w:t>Pressupost d’ingressos</w:t>
      </w:r>
    </w:p>
    <w:tbl>
      <w:tblPr>
        <w:tblW w:w="4628" w:type="dxa"/>
        <w:tblInd w:w="55" w:type="dxa"/>
        <w:tblLayout w:type="fixed"/>
        <w:tblCellMar>
          <w:left w:w="0" w:type="dxa"/>
          <w:right w:w="0" w:type="dxa"/>
        </w:tblCellMar>
        <w:tblLook w:val="04A0" w:firstRow="1" w:lastRow="0" w:firstColumn="1" w:lastColumn="0" w:noHBand="0" w:noVBand="1"/>
      </w:tblPr>
      <w:tblGrid>
        <w:gridCol w:w="218"/>
        <w:gridCol w:w="1575"/>
        <w:gridCol w:w="953"/>
        <w:gridCol w:w="890"/>
        <w:gridCol w:w="992"/>
      </w:tblGrid>
      <w:tr w:rsidR="008C126A" w:rsidRPr="00283ABC" w:rsidTr="0029458C">
        <w:trPr>
          <w:cantSplit/>
        </w:trPr>
        <w:tc>
          <w:tcPr>
            <w:tcW w:w="218" w:type="dxa"/>
            <w:tcBorders>
              <w:top w:val="single" w:sz="4" w:space="0" w:color="auto"/>
              <w:left w:val="single" w:sz="4" w:space="0" w:color="auto"/>
              <w:bottom w:val="single" w:sz="4" w:space="0" w:color="auto"/>
              <w:right w:val="single" w:sz="4" w:space="0" w:color="auto"/>
            </w:tcBorders>
            <w:noWrap/>
            <w:hideMark/>
          </w:tcPr>
          <w:p w:rsidR="002C794E" w:rsidRPr="00283ABC" w:rsidRDefault="002C794E" w:rsidP="0029458C">
            <w:pPr>
              <w:spacing w:after="0"/>
              <w:jc w:val="center"/>
              <w:rPr>
                <w:rFonts w:ascii="Garamond" w:hAnsi="Garamond"/>
                <w:sz w:val="14"/>
                <w:szCs w:val="14"/>
                <w:lang w:eastAsia="ca-ES"/>
              </w:rPr>
            </w:pPr>
          </w:p>
        </w:tc>
        <w:tc>
          <w:tcPr>
            <w:tcW w:w="1575" w:type="dxa"/>
            <w:tcBorders>
              <w:top w:val="single" w:sz="4" w:space="0" w:color="auto"/>
              <w:left w:val="nil"/>
              <w:bottom w:val="single" w:sz="4" w:space="0" w:color="auto"/>
              <w:right w:val="single" w:sz="4" w:space="0" w:color="auto"/>
            </w:tcBorders>
            <w:noWrap/>
            <w:hideMark/>
          </w:tcPr>
          <w:p w:rsidR="002C794E" w:rsidRPr="00283ABC" w:rsidRDefault="002C794E" w:rsidP="0029458C">
            <w:pPr>
              <w:spacing w:after="0"/>
              <w:jc w:val="center"/>
              <w:rPr>
                <w:rFonts w:ascii="Garamond" w:hAnsi="Garamond"/>
                <w:b/>
                <w:bCs/>
                <w:sz w:val="14"/>
                <w:szCs w:val="14"/>
                <w:lang w:eastAsia="ca-ES"/>
              </w:rPr>
            </w:pPr>
            <w:r w:rsidRPr="00283ABC">
              <w:rPr>
                <w:b/>
                <w:bCs/>
                <w:sz w:val="14"/>
                <w:szCs w:val="14"/>
                <w:lang w:eastAsia="ca-ES"/>
              </w:rPr>
              <w:t>En euros</w:t>
            </w:r>
          </w:p>
        </w:tc>
        <w:tc>
          <w:tcPr>
            <w:tcW w:w="953" w:type="dxa"/>
            <w:tcBorders>
              <w:top w:val="single" w:sz="4" w:space="0" w:color="auto"/>
              <w:left w:val="nil"/>
              <w:bottom w:val="single" w:sz="4" w:space="0" w:color="auto"/>
              <w:right w:val="single" w:sz="4" w:space="0" w:color="auto"/>
            </w:tcBorders>
            <w:noWrap/>
            <w:hideMark/>
          </w:tcPr>
          <w:p w:rsidR="002C794E" w:rsidRPr="00283ABC" w:rsidRDefault="002C794E" w:rsidP="0029458C">
            <w:pPr>
              <w:spacing w:after="0"/>
              <w:jc w:val="center"/>
              <w:rPr>
                <w:rFonts w:ascii="Garamond" w:hAnsi="Garamond"/>
                <w:b/>
                <w:bCs/>
                <w:sz w:val="14"/>
                <w:szCs w:val="14"/>
                <w:lang w:eastAsia="ca-ES"/>
              </w:rPr>
            </w:pPr>
            <w:r w:rsidRPr="00283ABC">
              <w:rPr>
                <w:b/>
                <w:bCs/>
                <w:sz w:val="14"/>
                <w:szCs w:val="14"/>
                <w:lang w:eastAsia="ca-ES"/>
              </w:rPr>
              <w:t>TOTAL</w:t>
            </w:r>
          </w:p>
        </w:tc>
        <w:tc>
          <w:tcPr>
            <w:tcW w:w="890" w:type="dxa"/>
            <w:tcBorders>
              <w:top w:val="single" w:sz="4" w:space="0" w:color="auto"/>
              <w:left w:val="nil"/>
              <w:bottom w:val="single" w:sz="4" w:space="0" w:color="auto"/>
              <w:right w:val="single" w:sz="4" w:space="0" w:color="auto"/>
            </w:tcBorders>
            <w:noWrap/>
            <w:hideMark/>
          </w:tcPr>
          <w:p w:rsidR="002C794E" w:rsidRPr="00283ABC" w:rsidRDefault="002C794E" w:rsidP="0029458C">
            <w:pPr>
              <w:spacing w:after="0"/>
              <w:jc w:val="center"/>
              <w:rPr>
                <w:rFonts w:ascii="Garamond" w:hAnsi="Garamond"/>
                <w:b/>
                <w:bCs/>
                <w:sz w:val="14"/>
                <w:szCs w:val="14"/>
                <w:lang w:eastAsia="ca-ES"/>
              </w:rPr>
            </w:pPr>
            <w:proofErr w:type="spellStart"/>
            <w:r w:rsidRPr="00283ABC">
              <w:rPr>
                <w:b/>
                <w:bCs/>
                <w:sz w:val="14"/>
                <w:szCs w:val="14"/>
                <w:lang w:eastAsia="ca-ES"/>
              </w:rPr>
              <w:t>PROJ</w:t>
            </w:r>
            <w:proofErr w:type="spellEnd"/>
            <w:r w:rsidRPr="00283ABC">
              <w:rPr>
                <w:b/>
                <w:bCs/>
                <w:sz w:val="14"/>
                <w:szCs w:val="14"/>
                <w:lang w:eastAsia="ca-ES"/>
              </w:rPr>
              <w:t xml:space="preserve"> 0001</w:t>
            </w:r>
          </w:p>
        </w:tc>
        <w:tc>
          <w:tcPr>
            <w:tcW w:w="992" w:type="dxa"/>
            <w:tcBorders>
              <w:top w:val="single" w:sz="4" w:space="0" w:color="auto"/>
              <w:left w:val="nil"/>
              <w:bottom w:val="single" w:sz="4" w:space="0" w:color="auto"/>
              <w:right w:val="single" w:sz="4" w:space="0" w:color="auto"/>
            </w:tcBorders>
            <w:noWrap/>
            <w:hideMark/>
          </w:tcPr>
          <w:p w:rsidR="002C794E" w:rsidRPr="00283ABC" w:rsidRDefault="002C794E" w:rsidP="0029458C">
            <w:pPr>
              <w:spacing w:after="0"/>
              <w:jc w:val="center"/>
              <w:rPr>
                <w:rFonts w:ascii="Garamond" w:hAnsi="Garamond"/>
                <w:b/>
                <w:bCs/>
                <w:sz w:val="14"/>
                <w:szCs w:val="14"/>
                <w:lang w:eastAsia="ca-ES"/>
              </w:rPr>
            </w:pPr>
            <w:proofErr w:type="spellStart"/>
            <w:r w:rsidRPr="00283ABC">
              <w:rPr>
                <w:b/>
                <w:bCs/>
                <w:sz w:val="14"/>
                <w:szCs w:val="14"/>
                <w:lang w:eastAsia="ca-ES"/>
              </w:rPr>
              <w:t>PROJ</w:t>
            </w:r>
            <w:proofErr w:type="spellEnd"/>
            <w:r w:rsidRPr="00283ABC">
              <w:rPr>
                <w:b/>
                <w:bCs/>
                <w:sz w:val="14"/>
                <w:szCs w:val="14"/>
                <w:lang w:eastAsia="ca-ES"/>
              </w:rPr>
              <w:t xml:space="preserve"> 0002</w:t>
            </w:r>
          </w:p>
        </w:tc>
      </w:tr>
      <w:tr w:rsidR="008C126A" w:rsidRPr="00283ABC" w:rsidTr="0029458C">
        <w:trPr>
          <w:cantSplit/>
        </w:trPr>
        <w:tc>
          <w:tcPr>
            <w:tcW w:w="218" w:type="dxa"/>
            <w:tcBorders>
              <w:top w:val="nil"/>
              <w:left w:val="single" w:sz="4" w:space="0" w:color="auto"/>
              <w:bottom w:val="single" w:sz="4" w:space="0" w:color="auto"/>
              <w:right w:val="single" w:sz="4" w:space="0" w:color="auto"/>
            </w:tcBorders>
            <w:noWrap/>
            <w:hideMark/>
          </w:tcPr>
          <w:p w:rsidR="002C794E" w:rsidRPr="0029458C" w:rsidRDefault="002C794E" w:rsidP="0029458C">
            <w:pPr>
              <w:spacing w:after="0"/>
              <w:rPr>
                <w:rFonts w:ascii="Garamond" w:hAnsi="Garamond"/>
                <w:b/>
                <w:sz w:val="14"/>
                <w:szCs w:val="14"/>
                <w:lang w:eastAsia="ca-ES"/>
              </w:rPr>
            </w:pPr>
            <w:r w:rsidRPr="0029458C">
              <w:rPr>
                <w:b/>
                <w:sz w:val="14"/>
                <w:szCs w:val="14"/>
                <w:lang w:eastAsia="ca-ES"/>
              </w:rPr>
              <w:t>4</w:t>
            </w:r>
          </w:p>
        </w:tc>
        <w:tc>
          <w:tcPr>
            <w:tcW w:w="1575" w:type="dxa"/>
            <w:tcBorders>
              <w:top w:val="nil"/>
              <w:left w:val="nil"/>
              <w:bottom w:val="single" w:sz="4" w:space="0" w:color="auto"/>
              <w:right w:val="single" w:sz="4" w:space="0" w:color="auto"/>
            </w:tcBorders>
            <w:noWrap/>
            <w:hideMark/>
          </w:tcPr>
          <w:p w:rsidR="002C794E" w:rsidRPr="00283ABC" w:rsidRDefault="002C794E" w:rsidP="0029458C">
            <w:pPr>
              <w:spacing w:after="0"/>
              <w:rPr>
                <w:rFonts w:ascii="Garamond" w:hAnsi="Garamond"/>
                <w:b/>
                <w:bCs/>
                <w:sz w:val="14"/>
                <w:szCs w:val="14"/>
                <w:lang w:eastAsia="ca-ES"/>
              </w:rPr>
            </w:pPr>
            <w:r w:rsidRPr="00283ABC">
              <w:rPr>
                <w:b/>
                <w:bCs/>
                <w:sz w:val="14"/>
                <w:szCs w:val="14"/>
                <w:lang w:eastAsia="ca-ES"/>
              </w:rPr>
              <w:t>Transferències corren</w:t>
            </w:r>
            <w:r w:rsidR="0029458C">
              <w:rPr>
                <w:b/>
                <w:bCs/>
                <w:sz w:val="14"/>
                <w:szCs w:val="14"/>
                <w:lang w:eastAsia="ca-ES"/>
              </w:rPr>
              <w:t>t</w:t>
            </w:r>
            <w:r w:rsidRPr="00283ABC">
              <w:rPr>
                <w:b/>
                <w:bCs/>
                <w:sz w:val="14"/>
                <w:szCs w:val="14"/>
                <w:lang w:eastAsia="ca-ES"/>
              </w:rPr>
              <w:t>s</w:t>
            </w:r>
          </w:p>
        </w:tc>
        <w:tc>
          <w:tcPr>
            <w:tcW w:w="953"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b/>
                <w:bCs/>
                <w:sz w:val="14"/>
                <w:szCs w:val="14"/>
                <w:lang w:eastAsia="ca-ES"/>
              </w:rPr>
            </w:pPr>
            <w:r w:rsidRPr="00283ABC">
              <w:rPr>
                <w:b/>
                <w:bCs/>
                <w:sz w:val="14"/>
                <w:szCs w:val="14"/>
                <w:lang w:eastAsia="ca-ES"/>
              </w:rPr>
              <w:t>680.358,96</w:t>
            </w:r>
          </w:p>
        </w:tc>
        <w:tc>
          <w:tcPr>
            <w:tcW w:w="890"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b/>
                <w:bCs/>
                <w:sz w:val="14"/>
                <w:szCs w:val="14"/>
                <w:lang w:eastAsia="ca-ES"/>
              </w:rPr>
            </w:pPr>
            <w:r w:rsidRPr="00283ABC">
              <w:rPr>
                <w:b/>
                <w:bCs/>
                <w:sz w:val="14"/>
                <w:szCs w:val="14"/>
                <w:lang w:eastAsia="ca-ES"/>
              </w:rPr>
              <w:t>680.358,96</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b/>
                <w:bCs/>
                <w:sz w:val="14"/>
                <w:szCs w:val="14"/>
                <w:lang w:eastAsia="ca-ES"/>
              </w:rPr>
            </w:pPr>
            <w:r w:rsidRPr="00283ABC">
              <w:rPr>
                <w:b/>
                <w:bCs/>
                <w:sz w:val="14"/>
                <w:szCs w:val="14"/>
                <w:lang w:eastAsia="ca-ES"/>
              </w:rPr>
              <w:t xml:space="preserve">                 -     </w:t>
            </w:r>
          </w:p>
        </w:tc>
      </w:tr>
      <w:tr w:rsidR="008C126A" w:rsidRPr="00283ABC" w:rsidTr="0029458C">
        <w:trPr>
          <w:cantSplit/>
        </w:trPr>
        <w:tc>
          <w:tcPr>
            <w:tcW w:w="218" w:type="dxa"/>
            <w:tcBorders>
              <w:top w:val="nil"/>
              <w:left w:val="single" w:sz="4" w:space="0" w:color="auto"/>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440</w:t>
            </w:r>
          </w:p>
        </w:tc>
        <w:tc>
          <w:tcPr>
            <w:tcW w:w="1575" w:type="dxa"/>
            <w:tcBorders>
              <w:top w:val="nil"/>
              <w:left w:val="nil"/>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Govern d'Andorra</w:t>
            </w:r>
          </w:p>
        </w:tc>
        <w:tc>
          <w:tcPr>
            <w:tcW w:w="953"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680.358,96</w:t>
            </w:r>
          </w:p>
        </w:tc>
        <w:tc>
          <w:tcPr>
            <w:tcW w:w="890"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680.358,96</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 xml:space="preserve">                 -     </w:t>
            </w:r>
          </w:p>
        </w:tc>
      </w:tr>
      <w:tr w:rsidR="008C126A" w:rsidRPr="00283ABC" w:rsidTr="0029458C">
        <w:trPr>
          <w:cantSplit/>
        </w:trPr>
        <w:tc>
          <w:tcPr>
            <w:tcW w:w="218" w:type="dxa"/>
            <w:tcBorders>
              <w:top w:val="nil"/>
              <w:left w:val="single" w:sz="4" w:space="0" w:color="auto"/>
              <w:bottom w:val="single" w:sz="4" w:space="0" w:color="auto"/>
              <w:right w:val="single" w:sz="4" w:space="0" w:color="auto"/>
            </w:tcBorders>
            <w:noWrap/>
            <w:hideMark/>
          </w:tcPr>
          <w:p w:rsidR="002C794E" w:rsidRPr="0029458C" w:rsidRDefault="002C794E" w:rsidP="0029458C">
            <w:pPr>
              <w:spacing w:after="0"/>
              <w:rPr>
                <w:rFonts w:ascii="Garamond" w:hAnsi="Garamond"/>
                <w:b/>
                <w:sz w:val="14"/>
                <w:szCs w:val="14"/>
                <w:lang w:eastAsia="ca-ES"/>
              </w:rPr>
            </w:pPr>
            <w:r w:rsidRPr="0029458C">
              <w:rPr>
                <w:b/>
                <w:sz w:val="14"/>
                <w:szCs w:val="14"/>
                <w:lang w:eastAsia="ca-ES"/>
              </w:rPr>
              <w:t>7</w:t>
            </w:r>
          </w:p>
        </w:tc>
        <w:tc>
          <w:tcPr>
            <w:tcW w:w="1575" w:type="dxa"/>
            <w:tcBorders>
              <w:top w:val="nil"/>
              <w:left w:val="nil"/>
              <w:bottom w:val="single" w:sz="4" w:space="0" w:color="auto"/>
              <w:right w:val="single" w:sz="4" w:space="0" w:color="auto"/>
            </w:tcBorders>
            <w:noWrap/>
            <w:hideMark/>
          </w:tcPr>
          <w:p w:rsidR="002C794E" w:rsidRPr="00283ABC" w:rsidRDefault="002C794E" w:rsidP="0029458C">
            <w:pPr>
              <w:spacing w:after="0"/>
              <w:rPr>
                <w:rFonts w:ascii="Garamond" w:hAnsi="Garamond"/>
                <w:b/>
                <w:bCs/>
                <w:sz w:val="14"/>
                <w:szCs w:val="14"/>
                <w:lang w:eastAsia="ca-ES"/>
              </w:rPr>
            </w:pPr>
            <w:r w:rsidRPr="00283ABC">
              <w:rPr>
                <w:b/>
                <w:bCs/>
                <w:sz w:val="14"/>
                <w:szCs w:val="14"/>
                <w:lang w:eastAsia="ca-ES"/>
              </w:rPr>
              <w:t>Transferències de capital</w:t>
            </w:r>
          </w:p>
        </w:tc>
        <w:tc>
          <w:tcPr>
            <w:tcW w:w="953"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b/>
                <w:bCs/>
                <w:sz w:val="14"/>
                <w:szCs w:val="14"/>
                <w:lang w:eastAsia="ca-ES"/>
              </w:rPr>
            </w:pPr>
            <w:r w:rsidRPr="00283ABC">
              <w:rPr>
                <w:b/>
                <w:bCs/>
                <w:sz w:val="14"/>
                <w:szCs w:val="14"/>
                <w:lang w:eastAsia="ca-ES"/>
              </w:rPr>
              <w:t>20.155,10</w:t>
            </w:r>
          </w:p>
        </w:tc>
        <w:tc>
          <w:tcPr>
            <w:tcW w:w="890"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b/>
                <w:bCs/>
                <w:sz w:val="14"/>
                <w:szCs w:val="14"/>
                <w:lang w:eastAsia="ca-ES"/>
              </w:rPr>
            </w:pPr>
            <w:r w:rsidRPr="00283ABC">
              <w:rPr>
                <w:b/>
                <w:bCs/>
                <w:sz w:val="14"/>
                <w:szCs w:val="14"/>
                <w:lang w:eastAsia="ca-ES"/>
              </w:rPr>
              <w:t>20.155,10</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b/>
                <w:bCs/>
                <w:sz w:val="14"/>
                <w:szCs w:val="14"/>
                <w:lang w:eastAsia="ca-ES"/>
              </w:rPr>
            </w:pPr>
            <w:r w:rsidRPr="00283ABC">
              <w:rPr>
                <w:b/>
                <w:bCs/>
                <w:sz w:val="14"/>
                <w:szCs w:val="14"/>
                <w:lang w:eastAsia="ca-ES"/>
              </w:rPr>
              <w:t xml:space="preserve">                 -     </w:t>
            </w:r>
          </w:p>
        </w:tc>
      </w:tr>
      <w:tr w:rsidR="008C126A" w:rsidRPr="00283ABC" w:rsidTr="0029458C">
        <w:trPr>
          <w:cantSplit/>
        </w:trPr>
        <w:tc>
          <w:tcPr>
            <w:tcW w:w="218" w:type="dxa"/>
            <w:tcBorders>
              <w:top w:val="nil"/>
              <w:left w:val="single" w:sz="4" w:space="0" w:color="auto"/>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740</w:t>
            </w:r>
          </w:p>
        </w:tc>
        <w:tc>
          <w:tcPr>
            <w:tcW w:w="1575" w:type="dxa"/>
            <w:tcBorders>
              <w:top w:val="nil"/>
              <w:left w:val="nil"/>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Govern d'Andorra</w:t>
            </w:r>
          </w:p>
        </w:tc>
        <w:tc>
          <w:tcPr>
            <w:tcW w:w="953"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20.155,10</w:t>
            </w:r>
          </w:p>
        </w:tc>
        <w:tc>
          <w:tcPr>
            <w:tcW w:w="890"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20.155,10</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 xml:space="preserve">                 -     </w:t>
            </w:r>
          </w:p>
        </w:tc>
      </w:tr>
      <w:tr w:rsidR="008C126A" w:rsidRPr="00283ABC" w:rsidTr="0029458C">
        <w:trPr>
          <w:cantSplit/>
        </w:trPr>
        <w:tc>
          <w:tcPr>
            <w:tcW w:w="218" w:type="dxa"/>
            <w:tcBorders>
              <w:top w:val="nil"/>
              <w:left w:val="single" w:sz="4" w:space="0" w:color="auto"/>
              <w:bottom w:val="single" w:sz="4" w:space="0" w:color="auto"/>
              <w:right w:val="single" w:sz="4" w:space="0" w:color="auto"/>
            </w:tcBorders>
            <w:noWrap/>
            <w:hideMark/>
          </w:tcPr>
          <w:p w:rsidR="002C794E" w:rsidRPr="0029458C" w:rsidRDefault="002C794E" w:rsidP="0029458C">
            <w:pPr>
              <w:spacing w:after="0"/>
              <w:rPr>
                <w:rFonts w:ascii="Garamond" w:hAnsi="Garamond"/>
                <w:b/>
                <w:sz w:val="14"/>
                <w:szCs w:val="14"/>
                <w:lang w:eastAsia="ca-ES"/>
              </w:rPr>
            </w:pPr>
            <w:r w:rsidRPr="0029458C">
              <w:rPr>
                <w:b/>
                <w:sz w:val="14"/>
                <w:szCs w:val="14"/>
                <w:lang w:eastAsia="ca-ES"/>
              </w:rPr>
              <w:t>9</w:t>
            </w:r>
          </w:p>
        </w:tc>
        <w:tc>
          <w:tcPr>
            <w:tcW w:w="1575" w:type="dxa"/>
            <w:tcBorders>
              <w:top w:val="nil"/>
              <w:left w:val="nil"/>
              <w:bottom w:val="single" w:sz="4" w:space="0" w:color="auto"/>
              <w:right w:val="single" w:sz="4" w:space="0" w:color="auto"/>
            </w:tcBorders>
            <w:noWrap/>
            <w:hideMark/>
          </w:tcPr>
          <w:p w:rsidR="002C794E" w:rsidRPr="00283ABC" w:rsidRDefault="002C794E" w:rsidP="0029458C">
            <w:pPr>
              <w:spacing w:after="0"/>
              <w:rPr>
                <w:rFonts w:ascii="Garamond" w:hAnsi="Garamond"/>
                <w:b/>
                <w:bCs/>
                <w:sz w:val="14"/>
                <w:szCs w:val="14"/>
                <w:lang w:eastAsia="ca-ES"/>
              </w:rPr>
            </w:pPr>
            <w:r w:rsidRPr="00283ABC">
              <w:rPr>
                <w:b/>
                <w:bCs/>
                <w:sz w:val="14"/>
                <w:szCs w:val="14"/>
                <w:lang w:eastAsia="ca-ES"/>
              </w:rPr>
              <w:t>Passius financers</w:t>
            </w:r>
          </w:p>
        </w:tc>
        <w:tc>
          <w:tcPr>
            <w:tcW w:w="953"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b/>
                <w:bCs/>
                <w:sz w:val="14"/>
                <w:szCs w:val="14"/>
                <w:lang w:eastAsia="ca-ES"/>
              </w:rPr>
            </w:pPr>
            <w:r w:rsidRPr="00283ABC">
              <w:rPr>
                <w:b/>
                <w:bCs/>
                <w:sz w:val="14"/>
                <w:szCs w:val="14"/>
                <w:lang w:eastAsia="ca-ES"/>
              </w:rPr>
              <w:t>14.412.044,49</w:t>
            </w:r>
          </w:p>
        </w:tc>
        <w:tc>
          <w:tcPr>
            <w:tcW w:w="890"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 xml:space="preserve">                -     </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b/>
                <w:bCs/>
                <w:sz w:val="14"/>
                <w:szCs w:val="14"/>
                <w:lang w:eastAsia="ca-ES"/>
              </w:rPr>
            </w:pPr>
            <w:r w:rsidRPr="00283ABC">
              <w:rPr>
                <w:b/>
                <w:bCs/>
                <w:sz w:val="14"/>
                <w:szCs w:val="14"/>
                <w:lang w:eastAsia="ca-ES"/>
              </w:rPr>
              <w:t>14.412.044,49</w:t>
            </w:r>
          </w:p>
        </w:tc>
      </w:tr>
      <w:tr w:rsidR="008C126A" w:rsidRPr="00283ABC" w:rsidTr="0029458C">
        <w:trPr>
          <w:cantSplit/>
        </w:trPr>
        <w:tc>
          <w:tcPr>
            <w:tcW w:w="218" w:type="dxa"/>
            <w:tcBorders>
              <w:top w:val="nil"/>
              <w:left w:val="single" w:sz="4" w:space="0" w:color="auto"/>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911</w:t>
            </w:r>
          </w:p>
        </w:tc>
        <w:tc>
          <w:tcPr>
            <w:tcW w:w="1575" w:type="dxa"/>
            <w:tcBorders>
              <w:top w:val="nil"/>
              <w:left w:val="nil"/>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Préstecs c/t sector públic</w:t>
            </w:r>
          </w:p>
        </w:tc>
        <w:tc>
          <w:tcPr>
            <w:tcW w:w="953"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14.412.044,49</w:t>
            </w:r>
          </w:p>
        </w:tc>
        <w:tc>
          <w:tcPr>
            <w:tcW w:w="890"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 xml:space="preserve">                -     </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sz w:val="14"/>
                <w:szCs w:val="14"/>
                <w:lang w:eastAsia="ca-ES"/>
              </w:rPr>
            </w:pPr>
            <w:r w:rsidRPr="00283ABC">
              <w:rPr>
                <w:sz w:val="14"/>
                <w:szCs w:val="14"/>
                <w:lang w:eastAsia="ca-ES"/>
              </w:rPr>
              <w:t>14.412.044,49</w:t>
            </w:r>
          </w:p>
        </w:tc>
      </w:tr>
      <w:tr w:rsidR="008C126A" w:rsidRPr="00283ABC" w:rsidTr="0029458C">
        <w:trPr>
          <w:cantSplit/>
        </w:trPr>
        <w:tc>
          <w:tcPr>
            <w:tcW w:w="218" w:type="dxa"/>
            <w:tcBorders>
              <w:top w:val="nil"/>
              <w:left w:val="single" w:sz="4" w:space="0" w:color="auto"/>
              <w:bottom w:val="single" w:sz="4" w:space="0" w:color="auto"/>
              <w:right w:val="single" w:sz="4" w:space="0" w:color="auto"/>
            </w:tcBorders>
            <w:noWrap/>
            <w:hideMark/>
          </w:tcPr>
          <w:p w:rsidR="002C794E" w:rsidRPr="00283ABC" w:rsidRDefault="002C794E" w:rsidP="0029458C">
            <w:pPr>
              <w:spacing w:after="0"/>
              <w:rPr>
                <w:rFonts w:ascii="Garamond" w:hAnsi="Garamond"/>
                <w:sz w:val="14"/>
                <w:szCs w:val="14"/>
                <w:lang w:eastAsia="ca-ES"/>
              </w:rPr>
            </w:pPr>
            <w:r w:rsidRPr="00283ABC">
              <w:rPr>
                <w:sz w:val="14"/>
                <w:szCs w:val="14"/>
                <w:lang w:eastAsia="ca-ES"/>
              </w:rPr>
              <w:t> </w:t>
            </w:r>
          </w:p>
        </w:tc>
        <w:tc>
          <w:tcPr>
            <w:tcW w:w="1575" w:type="dxa"/>
            <w:tcBorders>
              <w:top w:val="nil"/>
              <w:left w:val="nil"/>
              <w:bottom w:val="single" w:sz="4" w:space="0" w:color="auto"/>
              <w:right w:val="single" w:sz="4" w:space="0" w:color="auto"/>
            </w:tcBorders>
            <w:noWrap/>
            <w:hideMark/>
          </w:tcPr>
          <w:p w:rsidR="002C794E" w:rsidRPr="00283ABC" w:rsidRDefault="002C794E" w:rsidP="0029458C">
            <w:pPr>
              <w:spacing w:after="0"/>
              <w:rPr>
                <w:rFonts w:ascii="Garamond" w:hAnsi="Garamond"/>
                <w:b/>
                <w:bCs/>
                <w:sz w:val="14"/>
                <w:szCs w:val="14"/>
                <w:lang w:eastAsia="ca-ES"/>
              </w:rPr>
            </w:pPr>
            <w:r w:rsidRPr="00283ABC">
              <w:rPr>
                <w:b/>
                <w:bCs/>
                <w:sz w:val="14"/>
                <w:szCs w:val="14"/>
                <w:lang w:eastAsia="ca-ES"/>
              </w:rPr>
              <w:t>Total pressupost d'ingressos</w:t>
            </w:r>
          </w:p>
        </w:tc>
        <w:tc>
          <w:tcPr>
            <w:tcW w:w="953"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b/>
                <w:bCs/>
                <w:sz w:val="14"/>
                <w:szCs w:val="14"/>
                <w:lang w:eastAsia="ca-ES"/>
              </w:rPr>
            </w:pPr>
            <w:r w:rsidRPr="00283ABC">
              <w:rPr>
                <w:b/>
                <w:bCs/>
                <w:sz w:val="14"/>
                <w:szCs w:val="14"/>
                <w:lang w:eastAsia="ca-ES"/>
              </w:rPr>
              <w:t>15.112.558,55</w:t>
            </w:r>
          </w:p>
        </w:tc>
        <w:tc>
          <w:tcPr>
            <w:tcW w:w="890"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b/>
                <w:bCs/>
                <w:sz w:val="14"/>
                <w:szCs w:val="14"/>
                <w:lang w:eastAsia="ca-ES"/>
              </w:rPr>
            </w:pPr>
            <w:r w:rsidRPr="00283ABC">
              <w:rPr>
                <w:b/>
                <w:bCs/>
                <w:sz w:val="14"/>
                <w:szCs w:val="14"/>
                <w:lang w:eastAsia="ca-ES"/>
              </w:rPr>
              <w:t>700.514,06</w:t>
            </w:r>
          </w:p>
        </w:tc>
        <w:tc>
          <w:tcPr>
            <w:tcW w:w="992" w:type="dxa"/>
            <w:tcBorders>
              <w:top w:val="nil"/>
              <w:left w:val="nil"/>
              <w:bottom w:val="single" w:sz="4" w:space="0" w:color="auto"/>
              <w:right w:val="single" w:sz="4" w:space="0" w:color="auto"/>
            </w:tcBorders>
            <w:noWrap/>
            <w:hideMark/>
          </w:tcPr>
          <w:p w:rsidR="002C794E" w:rsidRPr="00283ABC" w:rsidRDefault="002C794E" w:rsidP="0029458C">
            <w:pPr>
              <w:spacing w:after="0"/>
              <w:jc w:val="right"/>
              <w:rPr>
                <w:rFonts w:ascii="Garamond" w:hAnsi="Garamond"/>
                <w:b/>
                <w:bCs/>
                <w:sz w:val="14"/>
                <w:szCs w:val="14"/>
                <w:lang w:eastAsia="ca-ES"/>
              </w:rPr>
            </w:pPr>
            <w:r w:rsidRPr="00283ABC">
              <w:rPr>
                <w:b/>
                <w:bCs/>
                <w:sz w:val="14"/>
                <w:szCs w:val="14"/>
                <w:lang w:eastAsia="ca-ES"/>
              </w:rPr>
              <w:t>14.412.044,49</w:t>
            </w:r>
          </w:p>
        </w:tc>
      </w:tr>
    </w:tbl>
    <w:p w:rsidR="002C794E" w:rsidRDefault="002C794E" w:rsidP="008C126A">
      <w:pPr>
        <w:rPr>
          <w:lang w:eastAsia="ca-ES"/>
        </w:rPr>
      </w:pPr>
    </w:p>
    <w:p w:rsidR="002C794E" w:rsidRPr="008C126A" w:rsidRDefault="002C794E" w:rsidP="008C126A">
      <w:pPr>
        <w:pStyle w:val="article"/>
        <w:rPr>
          <w:i/>
          <w:lang w:eastAsia="ca-ES"/>
        </w:rPr>
      </w:pPr>
      <w:r>
        <w:rPr>
          <w:lang w:eastAsia="ca-ES"/>
        </w:rPr>
        <w:lastRenderedPageBreak/>
        <w:t xml:space="preserve">Article 5. </w:t>
      </w:r>
      <w:r w:rsidRPr="008C126A">
        <w:rPr>
          <w:i/>
          <w:lang w:eastAsia="ca-ES"/>
        </w:rPr>
        <w:t>Modificació qualitativa del pressupost del Govern</w:t>
      </w:r>
    </w:p>
    <w:p w:rsidR="002C794E" w:rsidRDefault="002C794E" w:rsidP="002C794E">
      <w:pPr>
        <w:rPr>
          <w:rFonts w:eastAsia="Arial"/>
        </w:rPr>
      </w:pPr>
      <w:r>
        <w:rPr>
          <w:rFonts w:eastAsia="Arial"/>
        </w:rPr>
        <w:t>S’aprova un crèdit extraordinari per a les partides pressupostàries següents del pressupost del Govern:</w:t>
      </w:r>
    </w:p>
    <w:p w:rsidR="002C794E" w:rsidRDefault="002C794E" w:rsidP="002C794E">
      <w:pPr>
        <w:rPr>
          <w:rFonts w:eastAsia="Arial"/>
        </w:rPr>
      </w:pPr>
      <w:r>
        <w:rPr>
          <w:rFonts w:eastAsia="Arial"/>
        </w:rPr>
        <w:t>230 Departament de Finances-231 Unitat de Prevenció i Lluita contra la Corrupció-PROJ-0002-Planificació i gestió del sistema financer-71119 l’Agència Estatal de Resolució d’Entitats Bancàries, per un import de 20.155,10 euros.</w:t>
      </w:r>
    </w:p>
    <w:p w:rsidR="002C794E" w:rsidRDefault="002C794E" w:rsidP="002C794E">
      <w:pPr>
        <w:rPr>
          <w:rFonts w:eastAsia="Arial"/>
        </w:rPr>
      </w:pPr>
      <w:r>
        <w:rPr>
          <w:rFonts w:eastAsia="Arial"/>
        </w:rPr>
        <w:t>230 Departament de Finances-231 Unitat de Prevenció i Lluita contra la Corrupció-PROJ-0002-Planificació i gestió del sistema financer-81119 Agència Estatal de Resolució d’Entitats Bancàries, per un import de 20.022.376,10 euros.</w:t>
      </w:r>
    </w:p>
    <w:p w:rsidR="002C794E" w:rsidRDefault="002C794E" w:rsidP="002C794E">
      <w:pPr>
        <w:pStyle w:val="esmenan"/>
      </w:pPr>
      <w:r>
        <w:t>Esmena 5</w:t>
      </w:r>
      <w:r>
        <w:tab/>
        <w:t>De modificació</w:t>
      </w:r>
    </w:p>
    <w:p w:rsidR="002C794E" w:rsidRDefault="002C794E" w:rsidP="002C794E">
      <w:pPr>
        <w:pStyle w:val="normalCursiva"/>
      </w:pPr>
      <w:r>
        <w:t>Grup Parlamentari Mixt – PS</w:t>
      </w:r>
    </w:p>
    <w:p w:rsidR="002C794E" w:rsidRDefault="002C794E" w:rsidP="008C126A">
      <w:pPr>
        <w:pStyle w:val="normal1"/>
      </w:pPr>
      <w:r>
        <w:t>Es modifica l’article 5 amb el text següent:</w:t>
      </w:r>
    </w:p>
    <w:p w:rsidR="002C794E" w:rsidRPr="008C126A" w:rsidRDefault="002C794E" w:rsidP="008C126A">
      <w:pPr>
        <w:pStyle w:val="normal1"/>
        <w:rPr>
          <w:i/>
        </w:rPr>
      </w:pPr>
      <w:r>
        <w:t xml:space="preserve">“Article 5. </w:t>
      </w:r>
      <w:r w:rsidRPr="008C126A">
        <w:rPr>
          <w:i/>
        </w:rPr>
        <w:t xml:space="preserve">Modificació qualitativa del pressupost del Govern </w:t>
      </w:r>
    </w:p>
    <w:p w:rsidR="002C794E" w:rsidRDefault="002C794E" w:rsidP="008C126A">
      <w:pPr>
        <w:pStyle w:val="normal1"/>
      </w:pPr>
      <w:r>
        <w:t xml:space="preserve">S’aprova un crèdit extraordinari per a les partides pressupostàries següents del pressupost del Govern: </w:t>
      </w:r>
    </w:p>
    <w:p w:rsidR="002C794E" w:rsidRDefault="002C794E" w:rsidP="008C126A">
      <w:pPr>
        <w:pStyle w:val="normal1"/>
      </w:pPr>
      <w:r>
        <w:t xml:space="preserve">230 Departament de Finances-231 Unitat de Prevenció i Lluita contra la </w:t>
      </w:r>
      <w:r w:rsidRPr="002C794E">
        <w:rPr>
          <w:color w:val="000000"/>
        </w:rPr>
        <w:t>Corrupció-PROJ-0002-Planificació i gestió del</w:t>
      </w:r>
      <w:r>
        <w:t xml:space="preserve"> sistema financer-71119 l’Agència Estatal de Resolució d’Entitats Bancàries, per un import de 20.155,10 euros. </w:t>
      </w:r>
    </w:p>
    <w:p w:rsidR="002C794E" w:rsidRDefault="002C794E" w:rsidP="002C794E">
      <w:pPr>
        <w:pStyle w:val="normal1"/>
      </w:pPr>
      <w:r>
        <w:rPr>
          <w:rFonts w:cs="Arial"/>
          <w:szCs w:val="28"/>
        </w:rPr>
        <w:t xml:space="preserve">230 Departament de Finances-231 Unitat de Prevenció i Lluita contra la Corrupció-PROJ-0002- Planificació i gestió del sistema financer-81119 </w:t>
      </w:r>
      <w:r w:rsidRPr="002C794E">
        <w:rPr>
          <w:rFonts w:cs="Arial"/>
          <w:color w:val="000000"/>
          <w:szCs w:val="28"/>
        </w:rPr>
        <w:t xml:space="preserve">Agència Estatal de Resolució d’Entitats Bancàries, per un import de </w:t>
      </w:r>
      <w:r w:rsidRPr="002C794E">
        <w:rPr>
          <w:rFonts w:cs="Arial"/>
          <w:b/>
          <w:color w:val="000000"/>
          <w:szCs w:val="28"/>
        </w:rPr>
        <w:t>14.412.044,49</w:t>
      </w:r>
      <w:r w:rsidRPr="002C794E">
        <w:rPr>
          <w:rFonts w:cs="Arial"/>
          <w:color w:val="000000"/>
          <w:szCs w:val="28"/>
        </w:rPr>
        <w:t xml:space="preserve"> euros.”</w:t>
      </w:r>
    </w:p>
    <w:p w:rsidR="002C794E" w:rsidRPr="008C126A" w:rsidRDefault="002C794E" w:rsidP="008C126A">
      <w:pPr>
        <w:pStyle w:val="article"/>
        <w:rPr>
          <w:i/>
          <w:lang w:eastAsia="ca-ES"/>
        </w:rPr>
      </w:pPr>
      <w:r>
        <w:rPr>
          <w:rFonts w:eastAsia="Arial"/>
        </w:rPr>
        <w:t xml:space="preserve">Article 6. </w:t>
      </w:r>
      <w:r w:rsidRPr="008C126A">
        <w:rPr>
          <w:i/>
          <w:lang w:eastAsia="ca-ES"/>
        </w:rPr>
        <w:t>Modificació quantitativa del pressupost del Govern</w:t>
      </w:r>
    </w:p>
    <w:p w:rsidR="002C794E" w:rsidRDefault="002C794E" w:rsidP="002C794E">
      <w:pPr>
        <w:rPr>
          <w:rFonts w:eastAsia="Arial"/>
        </w:rPr>
      </w:pPr>
      <w:r>
        <w:rPr>
          <w:rFonts w:eastAsia="Arial"/>
        </w:rPr>
        <w:t>S’aprova un suplement de crèdit per a la partida pressupostària següent del pressupost del Govern:</w:t>
      </w:r>
    </w:p>
    <w:p w:rsidR="002C794E" w:rsidRDefault="002C794E" w:rsidP="002C794E">
      <w:pPr>
        <w:rPr>
          <w:rFonts w:eastAsia="Arial"/>
        </w:rPr>
      </w:pPr>
      <w:r>
        <w:rPr>
          <w:rFonts w:eastAsia="Arial"/>
        </w:rPr>
        <w:t>230 Departament de Finances-231 Unitat de Prevenció i Lluita contra la Corrupció-PROJ-0002-Planificació i gestió del sistema financer-41119 l’Agència Estatal de Resolució d’Entitats Bancàries, per un import de 180.358,96 euros.</w:t>
      </w:r>
    </w:p>
    <w:p w:rsidR="002C794E" w:rsidRPr="008C126A" w:rsidRDefault="002C794E" w:rsidP="008C126A">
      <w:pPr>
        <w:pStyle w:val="article"/>
        <w:rPr>
          <w:i/>
          <w:lang w:eastAsia="ca-ES"/>
        </w:rPr>
      </w:pPr>
      <w:r>
        <w:t xml:space="preserve">Article 7. </w:t>
      </w:r>
      <w:r w:rsidRPr="008C126A">
        <w:rPr>
          <w:i/>
          <w:lang w:eastAsia="ca-ES"/>
        </w:rPr>
        <w:t>Finançament de les modificacions del pressupost del Govern</w:t>
      </w:r>
    </w:p>
    <w:p w:rsidR="002C794E" w:rsidRDefault="002C794E" w:rsidP="002C794E">
      <w:r>
        <w:t xml:space="preserve">1. El crèdit extraordinari per l’import de </w:t>
      </w:r>
      <w:r>
        <w:rPr>
          <w:rFonts w:eastAsia="Arial"/>
        </w:rPr>
        <w:t xml:space="preserve">20.022.376,10 </w:t>
      </w:r>
      <w:r>
        <w:t>euros es finança mitjançant un nou endeutament.</w:t>
      </w:r>
    </w:p>
    <w:p w:rsidR="002C794E" w:rsidRDefault="002C794E" w:rsidP="002C794E">
      <w:r>
        <w:t>2. El crèdit extraordinari de 20.155,10 euros i el suplement de crèdit de 180.358,96 euros es financen mitjançant la partida pressupostaria següent, per un import total de 200.514,06 euros:</w:t>
      </w:r>
    </w:p>
    <w:p w:rsidR="002C794E" w:rsidRDefault="002C794E" w:rsidP="002C794E">
      <w:r>
        <w:lastRenderedPageBreak/>
        <w:t>750 Departament d’Ordenament Territorial -754 Àrea d’Obra Pública-60700 Construcció de carreteres-1987-0000000088 CG3 Cruïlla CS340 - El Serrat</w:t>
      </w:r>
    </w:p>
    <w:p w:rsidR="002C794E" w:rsidRDefault="002C794E" w:rsidP="002C794E">
      <w:pPr>
        <w:pStyle w:val="esmenan"/>
      </w:pPr>
      <w:r>
        <w:t>Esmena 6</w:t>
      </w:r>
      <w:r>
        <w:tab/>
        <w:t>De modificació</w:t>
      </w:r>
    </w:p>
    <w:p w:rsidR="002C794E" w:rsidRDefault="002C794E" w:rsidP="002C794E">
      <w:pPr>
        <w:pStyle w:val="normalCursiva"/>
      </w:pPr>
      <w:r>
        <w:t>Grup Parlamentari Mixt – PS</w:t>
      </w:r>
    </w:p>
    <w:p w:rsidR="002C794E" w:rsidRPr="002C794E" w:rsidRDefault="002C794E" w:rsidP="008C126A">
      <w:pPr>
        <w:pStyle w:val="normal1"/>
      </w:pPr>
      <w:r w:rsidRPr="002C794E">
        <w:t>Es modifica l’article 7 amb el text següent:</w:t>
      </w:r>
    </w:p>
    <w:p w:rsidR="002C794E" w:rsidRPr="002C794E" w:rsidRDefault="002C794E" w:rsidP="008C126A">
      <w:pPr>
        <w:pStyle w:val="normal1"/>
      </w:pPr>
      <w:r w:rsidRPr="002C794E">
        <w:t xml:space="preserve">“Article 7. </w:t>
      </w:r>
      <w:r w:rsidRPr="00F1225F">
        <w:rPr>
          <w:i/>
        </w:rPr>
        <w:t>Finançament de les modificacions del pressupost del Govern</w:t>
      </w:r>
    </w:p>
    <w:p w:rsidR="002C794E" w:rsidRPr="002C794E" w:rsidRDefault="002C794E" w:rsidP="008C126A">
      <w:pPr>
        <w:pStyle w:val="normal1"/>
      </w:pPr>
      <w:r w:rsidRPr="002C794E">
        <w:t xml:space="preserve">1. El crèdit extraordinari per l’import de </w:t>
      </w:r>
      <w:r w:rsidRPr="002C794E">
        <w:rPr>
          <w:b/>
        </w:rPr>
        <w:t>14.412.044,49</w:t>
      </w:r>
      <w:r w:rsidRPr="002C794E">
        <w:t xml:space="preserve"> euros es finança mitjançant un nou endeutament. </w:t>
      </w:r>
    </w:p>
    <w:p w:rsidR="002C794E" w:rsidRDefault="002C794E" w:rsidP="008C126A">
      <w:pPr>
        <w:pStyle w:val="normal1"/>
      </w:pPr>
      <w:r w:rsidRPr="002C794E">
        <w:t>2. El crèdit extraordinari de 20.155,10 euros i el suplement de crèdit de 180.358,96 euros es financen mitjançant la partida pressupostaria següent, per un import total de 200.514</w:t>
      </w:r>
      <w:r>
        <w:t xml:space="preserve">,06 euros: </w:t>
      </w:r>
    </w:p>
    <w:p w:rsidR="002C794E" w:rsidRDefault="002C794E" w:rsidP="008C126A">
      <w:pPr>
        <w:pStyle w:val="normal1"/>
      </w:pPr>
      <w:r>
        <w:t>750 Departament d’Ordenament Territorial -754 Àrea d’Obra Pública-60700 Construcció de carreteres-1987-0000000088 CG3 Cruïlla CS340 - El Serrat”</w:t>
      </w:r>
    </w:p>
    <w:p w:rsidR="002C794E" w:rsidRPr="00F1225F" w:rsidRDefault="002C794E" w:rsidP="00F1225F">
      <w:pPr>
        <w:pStyle w:val="normal1"/>
        <w:rPr>
          <w:u w:val="single"/>
        </w:rPr>
      </w:pPr>
      <w:r w:rsidRPr="00F1225F">
        <w:rPr>
          <w:u w:val="single"/>
        </w:rPr>
        <w:t>Motivació general de les esmenes</w:t>
      </w:r>
    </w:p>
    <w:p w:rsidR="002C794E" w:rsidRDefault="002C794E" w:rsidP="008C126A">
      <w:pPr>
        <w:pStyle w:val="normal1"/>
      </w:pPr>
      <w:r>
        <w:t>S’han esmenat els imports seguint la informació que han facilitat prèviament.</w:t>
      </w:r>
    </w:p>
    <w:p w:rsidR="002C794E" w:rsidRDefault="002C794E" w:rsidP="002C794E">
      <w:pPr>
        <w:pStyle w:val="Disposici"/>
      </w:pPr>
      <w:r>
        <w:rPr>
          <w:rFonts w:eastAsia="Arial"/>
        </w:rPr>
        <w:t>Disposició final</w:t>
      </w:r>
    </w:p>
    <w:p w:rsidR="002C794E" w:rsidRDefault="002C794E" w:rsidP="002C794E">
      <w:r>
        <w:rPr>
          <w:rFonts w:eastAsia="Arial"/>
        </w:rPr>
        <w:t xml:space="preserve">Aquesta Llei entra en vigor el mateix dia de ser publicada al </w:t>
      </w:r>
      <w:r>
        <w:rPr>
          <w:rFonts w:eastAsia="Arial"/>
          <w:i/>
        </w:rPr>
        <w:t>Butlletí Oficial del Principat d’Andorra</w:t>
      </w:r>
      <w:r>
        <w:rPr>
          <w:rFonts w:eastAsia="Arial"/>
        </w:rPr>
        <w:t>.</w:t>
      </w:r>
    </w:p>
    <w:p w:rsidR="002C794E" w:rsidRDefault="002C794E" w:rsidP="002C794E"/>
    <w:p w:rsidR="002C794E" w:rsidRDefault="002C794E" w:rsidP="008C126A">
      <w:proofErr w:type="spellStart"/>
      <w:r>
        <w:t>M.I</w:t>
      </w:r>
      <w:proofErr w:type="spellEnd"/>
      <w:r>
        <w:t>. Sr. Marc Ballestà Alias</w:t>
      </w:r>
    </w:p>
    <w:p w:rsidR="002C794E" w:rsidRDefault="008C126A" w:rsidP="008C126A">
      <w:pPr>
        <w:pStyle w:val="nomllei"/>
        <w:rPr>
          <w:caps/>
          <w:szCs w:val="28"/>
        </w:rPr>
      </w:pPr>
      <w:r>
        <w:rPr>
          <w:szCs w:val="28"/>
        </w:rPr>
        <w:t>Informe de la Comissió Legislativa de Finances i Pressupost relatiu al P</w:t>
      </w:r>
      <w:r>
        <w:rPr>
          <w:rFonts w:eastAsia="Arial"/>
        </w:rPr>
        <w:t>rojecte de llei de modificació de la Llei 7/2015, del 15 de gener, del pressupost per a l’exercici del 2015 i de crèdit extraordinari i de suplement de crèdit per finançar despeses diverses de l’exercici 2015 de l’Agència Estatal de Resolució d’Entitats Bancàries</w:t>
      </w:r>
    </w:p>
    <w:p w:rsidR="002C794E" w:rsidRDefault="002C794E" w:rsidP="002C794E">
      <w:pPr>
        <w:rPr>
          <w:szCs w:val="28"/>
        </w:rPr>
      </w:pPr>
      <w:r>
        <w:rPr>
          <w:szCs w:val="28"/>
        </w:rPr>
        <w:t xml:space="preserve">La Comissió Legislativa de Finances i Pressupost ha examinat, en el decurs de la reunió celebrada el dia 22 de desembre del 2015, l'informe del ponent relatiu al </w:t>
      </w:r>
      <w:r>
        <w:rPr>
          <w:rFonts w:eastAsia="Arial"/>
        </w:rPr>
        <w:t>Projecte de llei de modificació de la Llei 7/2015, del 15 de gener, del pressupost per a l’exercici del 2015 i de crèdit extraordinari i de suplement de crèdit per finançar despeses diverses de l’exercici 2015 de l’Agència Estatal de Resolució d’Entitats Bancàries</w:t>
      </w:r>
      <w:r>
        <w:rPr>
          <w:szCs w:val="28"/>
        </w:rPr>
        <w:t xml:space="preserve">, d'acord amb els articles 98 i 99 </w:t>
      </w:r>
      <w:r>
        <w:rPr>
          <w:szCs w:val="28"/>
        </w:rPr>
        <w:lastRenderedPageBreak/>
        <w:t>del Reglament del Consell General, del qual se'n desprèn el següent:</w:t>
      </w:r>
    </w:p>
    <w:p w:rsidR="002C794E" w:rsidRPr="00F1225F" w:rsidRDefault="002C794E" w:rsidP="002C794E">
      <w:pPr>
        <w:pStyle w:val="esmenes"/>
        <w:rPr>
          <w:u w:val="single"/>
        </w:rPr>
      </w:pPr>
      <w:r w:rsidRPr="00F1225F">
        <w:rPr>
          <w:u w:val="single"/>
        </w:rPr>
        <w:t>Esmenes no aprovades</w:t>
      </w:r>
    </w:p>
    <w:p w:rsidR="002C794E" w:rsidRDefault="002C794E" w:rsidP="002C794E">
      <w:pPr>
        <w:rPr>
          <w:rFonts w:cs="Courier New"/>
          <w:szCs w:val="28"/>
        </w:rPr>
      </w:pPr>
      <w:r>
        <w:rPr>
          <w:rFonts w:cs="Courier New"/>
          <w:b/>
          <w:bCs/>
          <w:i/>
          <w:iCs/>
          <w:szCs w:val="28"/>
        </w:rPr>
        <w:t>Esmena 1</w:t>
      </w:r>
      <w:r>
        <w:rPr>
          <w:rFonts w:cs="Courier New"/>
          <w:b/>
          <w:i/>
          <w:szCs w:val="28"/>
        </w:rPr>
        <w:t xml:space="preserve"> </w:t>
      </w:r>
      <w:r>
        <w:rPr>
          <w:rFonts w:cs="Courier New"/>
          <w:szCs w:val="28"/>
        </w:rPr>
        <w:t>(Grup parlamentari Mixt - PS) de modificació a l’exposició de motius.</w:t>
      </w:r>
    </w:p>
    <w:p w:rsidR="002C794E" w:rsidRDefault="002C794E" w:rsidP="002C794E">
      <w:pPr>
        <w:rPr>
          <w:rFonts w:cs="Courier New"/>
          <w:szCs w:val="28"/>
        </w:rPr>
      </w:pPr>
      <w:r>
        <w:rPr>
          <w:rFonts w:cs="Courier New"/>
          <w:b/>
          <w:bCs/>
          <w:i/>
          <w:iCs/>
          <w:szCs w:val="28"/>
        </w:rPr>
        <w:t xml:space="preserve">Esmena </w:t>
      </w:r>
      <w:r>
        <w:rPr>
          <w:rFonts w:cs="Courier New"/>
          <w:b/>
          <w:i/>
          <w:szCs w:val="28"/>
        </w:rPr>
        <w:t xml:space="preserve">2 </w:t>
      </w:r>
      <w:r>
        <w:rPr>
          <w:rFonts w:cs="Courier New"/>
          <w:szCs w:val="28"/>
        </w:rPr>
        <w:t>(Grup parlamentari Mixt - PS) de modificació a l’article 2.</w:t>
      </w:r>
    </w:p>
    <w:p w:rsidR="002C794E" w:rsidRDefault="002C794E" w:rsidP="002C794E">
      <w:pPr>
        <w:rPr>
          <w:rFonts w:cs="Courier New"/>
          <w:szCs w:val="28"/>
        </w:rPr>
      </w:pPr>
      <w:r>
        <w:rPr>
          <w:rFonts w:cs="Courier New"/>
          <w:b/>
          <w:bCs/>
          <w:i/>
          <w:iCs/>
          <w:szCs w:val="28"/>
        </w:rPr>
        <w:t xml:space="preserve">Esmena </w:t>
      </w:r>
      <w:r>
        <w:rPr>
          <w:rFonts w:cs="Courier New"/>
          <w:b/>
          <w:i/>
          <w:szCs w:val="28"/>
        </w:rPr>
        <w:t xml:space="preserve">3 </w:t>
      </w:r>
      <w:r>
        <w:rPr>
          <w:rFonts w:cs="Courier New"/>
          <w:szCs w:val="28"/>
        </w:rPr>
        <w:t>(Grup parlamentari Mixt - PS) de modificació a l’article 3.</w:t>
      </w:r>
    </w:p>
    <w:p w:rsidR="002C794E" w:rsidRDefault="002C794E" w:rsidP="002C794E">
      <w:pPr>
        <w:rPr>
          <w:rFonts w:cs="Courier New"/>
          <w:szCs w:val="28"/>
        </w:rPr>
      </w:pPr>
      <w:r>
        <w:rPr>
          <w:rFonts w:cs="Courier New"/>
          <w:b/>
          <w:bCs/>
          <w:i/>
          <w:iCs/>
          <w:szCs w:val="28"/>
        </w:rPr>
        <w:t xml:space="preserve">Esmena </w:t>
      </w:r>
      <w:r>
        <w:rPr>
          <w:rFonts w:cs="Courier New"/>
          <w:b/>
          <w:i/>
          <w:szCs w:val="28"/>
        </w:rPr>
        <w:t xml:space="preserve">4 </w:t>
      </w:r>
      <w:r>
        <w:rPr>
          <w:rFonts w:cs="Courier New"/>
          <w:szCs w:val="28"/>
        </w:rPr>
        <w:t>(Grup parlamentari Mixt - PS) de modificació a l’article 4.</w:t>
      </w:r>
    </w:p>
    <w:p w:rsidR="002C794E" w:rsidRDefault="002C794E" w:rsidP="002C794E">
      <w:pPr>
        <w:rPr>
          <w:rFonts w:cs="Courier New"/>
          <w:szCs w:val="28"/>
        </w:rPr>
      </w:pPr>
      <w:r>
        <w:rPr>
          <w:rFonts w:cs="Courier New"/>
          <w:b/>
          <w:bCs/>
          <w:i/>
          <w:iCs/>
          <w:szCs w:val="28"/>
        </w:rPr>
        <w:t xml:space="preserve">Esmena </w:t>
      </w:r>
      <w:r>
        <w:rPr>
          <w:rFonts w:cs="Courier New"/>
          <w:b/>
          <w:i/>
          <w:szCs w:val="28"/>
        </w:rPr>
        <w:t xml:space="preserve">5 </w:t>
      </w:r>
      <w:r>
        <w:rPr>
          <w:rFonts w:cs="Courier New"/>
          <w:szCs w:val="28"/>
        </w:rPr>
        <w:t>(Grup parlamentari Mixt - PS) de modificació a l’article 5.</w:t>
      </w:r>
    </w:p>
    <w:p w:rsidR="002C794E" w:rsidRDefault="002C794E" w:rsidP="002C794E">
      <w:pPr>
        <w:rPr>
          <w:rFonts w:cs="Courier New"/>
          <w:szCs w:val="28"/>
        </w:rPr>
      </w:pPr>
      <w:r>
        <w:rPr>
          <w:rFonts w:cs="Courier New"/>
          <w:b/>
          <w:bCs/>
          <w:i/>
          <w:iCs/>
          <w:szCs w:val="28"/>
        </w:rPr>
        <w:t xml:space="preserve">Esmena </w:t>
      </w:r>
      <w:r>
        <w:rPr>
          <w:rFonts w:cs="Courier New"/>
          <w:b/>
          <w:i/>
          <w:szCs w:val="28"/>
        </w:rPr>
        <w:t xml:space="preserve">6 </w:t>
      </w:r>
      <w:r>
        <w:rPr>
          <w:rFonts w:cs="Courier New"/>
          <w:szCs w:val="28"/>
        </w:rPr>
        <w:t>(Grup parlamentari Mixt - PS) de modificació a l’article 7.</w:t>
      </w:r>
    </w:p>
    <w:p w:rsidR="002C794E" w:rsidRDefault="002C794E" w:rsidP="002C794E"/>
    <w:p w:rsidR="002C794E" w:rsidRDefault="002C794E" w:rsidP="002C794E">
      <w:pPr>
        <w:rPr>
          <w:rFonts w:cs="Courier New"/>
          <w:i/>
          <w:szCs w:val="28"/>
        </w:rPr>
      </w:pPr>
      <w:r>
        <w:rPr>
          <w:i/>
        </w:rPr>
        <w:t>Els membres de la Comissió Legislativa de Finances i Pressupost han acordat, per unanimitat, adequar els aspectes gràfics i de presentació del Projecte de llei a l’Acord del Consell General sobre l’estructura, el contingut i la forma de les lleis, del 18 d’abril del 2002, així com corregir els errors ortogràfics i de referència detectats.</w:t>
      </w:r>
    </w:p>
    <w:p w:rsidR="002C794E" w:rsidRDefault="002C794E" w:rsidP="002C794E">
      <w:pPr>
        <w:pStyle w:val="nomllei"/>
      </w:pPr>
      <w:r>
        <w:rPr>
          <w:rFonts w:eastAsia="Arial"/>
        </w:rPr>
        <w:t>Projecte de llei de modificació de la Llei 7/2015, del 15 de gener, del pressupost per a l’exercici del 2015 i de crèdit extraordinari i de suplement de crèdit per finançar despeses diverses de l’exercici 2015 de l’Agència Estatal de Resolució d’Entitats Bancàries</w:t>
      </w:r>
    </w:p>
    <w:p w:rsidR="002C794E" w:rsidRDefault="002C794E" w:rsidP="002C794E">
      <w:pPr>
        <w:pStyle w:val="Expo"/>
      </w:pPr>
      <w:r>
        <w:rPr>
          <w:rFonts w:eastAsia="Arial"/>
        </w:rPr>
        <w:t>Exposició de motius</w:t>
      </w:r>
    </w:p>
    <w:p w:rsidR="002C794E" w:rsidRDefault="002C794E" w:rsidP="002C794E">
      <w:pPr>
        <w:rPr>
          <w:rFonts w:eastAsia="Arial"/>
        </w:rPr>
      </w:pPr>
      <w:r>
        <w:rPr>
          <w:rFonts w:eastAsia="Arial"/>
        </w:rPr>
        <w:t>La Llei 8/2015, del 2 d’abril, de mesures urgents per implantar mecanismes de reestructuració i resolució d’entitats bancàries té per objecte regular els processos de reestructuració i resolució d’entitats bancàries, establir mecanismes que redueixin el risc que es produeixi un supòsit de resolució, així com crear el règim jurídic de  l’Agència Estatal de Resolució d’Entitats Bancàries (</w:t>
      </w:r>
      <w:proofErr w:type="spellStart"/>
      <w:r>
        <w:rPr>
          <w:rFonts w:eastAsia="Arial"/>
        </w:rPr>
        <w:t>AREB</w:t>
      </w:r>
      <w:proofErr w:type="spellEnd"/>
      <w:r>
        <w:rPr>
          <w:rFonts w:eastAsia="Arial"/>
        </w:rPr>
        <w:t>), amb la finalitat de protegir la confiança, la credibilitat i l’estabilitat del sistema financer.</w:t>
      </w:r>
    </w:p>
    <w:p w:rsidR="002C794E" w:rsidRDefault="002C794E" w:rsidP="002C794E">
      <w:pPr>
        <w:rPr>
          <w:rFonts w:eastAsia="Arial"/>
        </w:rPr>
      </w:pPr>
      <w:r>
        <w:rPr>
          <w:rFonts w:eastAsia="Arial"/>
        </w:rPr>
        <w:t>La naturalesa i el règim jurídic de l’Agència Estatal de Resolució d’Entitats Bancàries (</w:t>
      </w:r>
      <w:proofErr w:type="spellStart"/>
      <w:r>
        <w:rPr>
          <w:rFonts w:eastAsia="Arial"/>
        </w:rPr>
        <w:t>AREB</w:t>
      </w:r>
      <w:proofErr w:type="spellEnd"/>
      <w:r>
        <w:rPr>
          <w:rFonts w:eastAsia="Arial"/>
        </w:rPr>
        <w:t>) es regulen al capítol cinquè de la Llei 8/2015, i són els d’una entitat de dret públic amb personalitat jurídica pròpia, autonomia patrimonial i financera i plena capacitat pública i privada per al desenvolupament de les seves finalitats, principalment.</w:t>
      </w:r>
    </w:p>
    <w:p w:rsidR="002C794E" w:rsidRDefault="002C794E" w:rsidP="002C794E">
      <w:pPr>
        <w:rPr>
          <w:rFonts w:eastAsia="Arial"/>
        </w:rPr>
      </w:pPr>
      <w:r>
        <w:rPr>
          <w:rFonts w:eastAsia="Arial"/>
        </w:rPr>
        <w:lastRenderedPageBreak/>
        <w:t xml:space="preserve">Per cobrir les seves despeses de funcionament, </w:t>
      </w:r>
      <w:proofErr w:type="spellStart"/>
      <w:r>
        <w:rPr>
          <w:rFonts w:eastAsia="Arial"/>
        </w:rPr>
        <w:t>l’AREB</w:t>
      </w:r>
      <w:proofErr w:type="spellEnd"/>
      <w:r>
        <w:rPr>
          <w:rFonts w:eastAsia="Arial"/>
        </w:rPr>
        <w:t xml:space="preserve"> ha de disposar de consignació amb càrrec al pressupost de l’Estat. Aquesta habilitació pressupostària requereix l’aprovació anual per part del Consell d’Administració de </w:t>
      </w:r>
      <w:proofErr w:type="spellStart"/>
      <w:r>
        <w:rPr>
          <w:rFonts w:eastAsia="Arial"/>
        </w:rPr>
        <w:t>l’AREB</w:t>
      </w:r>
      <w:proofErr w:type="spellEnd"/>
      <w:r>
        <w:rPr>
          <w:rFonts w:eastAsia="Arial"/>
        </w:rPr>
        <w:t xml:space="preserve"> d’un avantprojecte de llei que ha de remetre al Govern per mitjà del ministeri encarregat de les finances. L'aprovació d’aquest avantprojecte pel Govern comporta la seva conversió en projecte de llei del pressupost general, que cal trametre al seu torn a la Sindicatura, tal com estableix la Llei general de les finances públiques.</w:t>
      </w:r>
    </w:p>
    <w:p w:rsidR="002C794E" w:rsidRDefault="002C794E" w:rsidP="002C794E">
      <w:pPr>
        <w:rPr>
          <w:rFonts w:eastAsia="Arial"/>
        </w:rPr>
      </w:pPr>
      <w:r>
        <w:rPr>
          <w:rFonts w:eastAsia="Arial"/>
        </w:rPr>
        <w:t>La constitució de l’Agència Estatal de Resolució d’Entitats Bancàries (</w:t>
      </w:r>
      <w:proofErr w:type="spellStart"/>
      <w:r>
        <w:rPr>
          <w:rFonts w:eastAsia="Arial"/>
        </w:rPr>
        <w:t>AREB</w:t>
      </w:r>
      <w:proofErr w:type="spellEnd"/>
      <w:r>
        <w:rPr>
          <w:rFonts w:eastAsia="Arial"/>
        </w:rPr>
        <w:t>) és posterior a l’aprovació del pressupost general per a l’exercici del 2015. Això fa necessari aprovar i tramitar el pressupost d’aquesta entitat mitjançant la present modificació de la Llei 7/2015, del 15 de gener, del pressupost per a l’exercici del 2015.</w:t>
      </w:r>
    </w:p>
    <w:p w:rsidR="002C794E" w:rsidRDefault="002C794E" w:rsidP="002C794E">
      <w:pPr>
        <w:rPr>
          <w:rFonts w:eastAsia="Arial"/>
        </w:rPr>
      </w:pPr>
      <w:r>
        <w:rPr>
          <w:rFonts w:eastAsia="Arial"/>
        </w:rPr>
        <w:t>En conseqüència, les modificacions de la Llei 7/2015, del 15 de gener, del pressupost per a l’exercici del 2015 que ara s’aproven són per vetllar per la integritat del pressupost general, d’acord amb els principis d’unitat i d’universalitat, principalment, que determina la Llei general de les finances públiques.</w:t>
      </w:r>
    </w:p>
    <w:p w:rsidR="002C794E" w:rsidRDefault="002C794E" w:rsidP="002C794E">
      <w:pPr>
        <w:rPr>
          <w:rFonts w:eastAsia="Arial"/>
        </w:rPr>
      </w:pPr>
      <w:r>
        <w:rPr>
          <w:rFonts w:eastAsia="Arial"/>
        </w:rPr>
        <w:t xml:space="preserve">Tornant a la Llei 8/2015 de constant referència, la disposició addicional tercera autoritza el Govern a fer una dotació provisional a </w:t>
      </w:r>
      <w:proofErr w:type="spellStart"/>
      <w:r>
        <w:rPr>
          <w:rFonts w:eastAsia="Arial"/>
        </w:rPr>
        <w:t>l’AREB</w:t>
      </w:r>
      <w:proofErr w:type="spellEnd"/>
      <w:r>
        <w:rPr>
          <w:rFonts w:eastAsia="Arial"/>
        </w:rPr>
        <w:t xml:space="preserve"> per un import total de 500.000 euros per atendre les necessitats de funcionament d’aquest ens públic mentre no tingui aprovat el seu pressupost. A aquest efecte, enguany el Govern ha habilitat en el pressupost de despesa el </w:t>
      </w:r>
      <w:proofErr w:type="spellStart"/>
      <w:r>
        <w:rPr>
          <w:rFonts w:eastAsia="Arial"/>
        </w:rPr>
        <w:t>subconcepte</w:t>
      </w:r>
      <w:proofErr w:type="spellEnd"/>
      <w:r>
        <w:rPr>
          <w:rFonts w:eastAsia="Arial"/>
        </w:rPr>
        <w:t xml:space="preserve"> 41119, “Agència Estatal de Resolució d’Entitats Bancàries”, i ha acordat un crèdit ampliable per l’import de 500.000 euros, d’acord amb l’article 25 de la Llei general de les finances públiques i l’article 4 de la Llei de pressupost per a l’exercici 2015.</w:t>
      </w:r>
    </w:p>
    <w:p w:rsidR="002C794E" w:rsidRDefault="002C794E" w:rsidP="002C794E">
      <w:pPr>
        <w:rPr>
          <w:rFonts w:eastAsia="Arial"/>
          <w:b/>
        </w:rPr>
      </w:pPr>
      <w:r>
        <w:rPr>
          <w:rFonts w:eastAsia="Arial"/>
        </w:rPr>
        <w:t xml:space="preserve">El pressupost per a l’exercici 2015 aprovat pel Consell d’Administració de </w:t>
      </w:r>
      <w:proofErr w:type="spellStart"/>
      <w:r>
        <w:rPr>
          <w:rFonts w:eastAsia="Arial"/>
        </w:rPr>
        <w:t>l’AREB</w:t>
      </w:r>
      <w:proofErr w:type="spellEnd"/>
      <w:r>
        <w:rPr>
          <w:rFonts w:eastAsia="Arial"/>
        </w:rPr>
        <w:t xml:space="preserve"> presenta un estat de despeses que comprèn dos projectes diferenciats que es detallen a continuació i que necessiten finançament addicional per part del Govern per un import de 20.222.890,16 euros.</w:t>
      </w:r>
    </w:p>
    <w:p w:rsidR="002C794E" w:rsidRDefault="002C794E" w:rsidP="002C794E">
      <w:pPr>
        <w:rPr>
          <w:rFonts w:eastAsia="Arial"/>
        </w:rPr>
      </w:pPr>
      <w:r>
        <w:rPr>
          <w:rFonts w:eastAsia="Arial"/>
        </w:rPr>
        <w:t>D’una banda, el projecte denominat “</w:t>
      </w:r>
      <w:r>
        <w:rPr>
          <w:rFonts w:eastAsia="Arial"/>
          <w:sz w:val="20"/>
        </w:rPr>
        <w:t xml:space="preserve">PROJ0001 SERVEIS GENERALS </w:t>
      </w:r>
      <w:proofErr w:type="spellStart"/>
      <w:r>
        <w:rPr>
          <w:rFonts w:eastAsia="Arial"/>
          <w:sz w:val="20"/>
        </w:rPr>
        <w:t>AREB</w:t>
      </w:r>
      <w:proofErr w:type="spellEnd"/>
      <w:r>
        <w:rPr>
          <w:rFonts w:eastAsia="Arial"/>
        </w:rPr>
        <w:t xml:space="preserve">” correspon a les despeses de funcionament pròpies de l’ens i ascendeix a 700.514,06 euros. Aquestes despeses són de la naturalesa següent: 20.155,10 euros són en concepte d’inversió real; la resta, d’un import de 680.358,96 euros, són en concepte de despeses corrents i comprenen 268.309,25 euros de despeses de personal, 409.949,71 euros de despeses de </w:t>
      </w:r>
      <w:r>
        <w:rPr>
          <w:rFonts w:eastAsia="Arial"/>
        </w:rPr>
        <w:lastRenderedPageBreak/>
        <w:t>consum de béns corrents i de serveis, i 2.100 euros de despeses financeres.</w:t>
      </w:r>
    </w:p>
    <w:p w:rsidR="002C794E" w:rsidRDefault="002C794E" w:rsidP="002C794E">
      <w:pPr>
        <w:rPr>
          <w:rFonts w:eastAsia="Arial"/>
          <w:b/>
        </w:rPr>
      </w:pPr>
      <w:r>
        <w:rPr>
          <w:rFonts w:eastAsia="Arial"/>
        </w:rPr>
        <w:t>I de l’altra, el projecte denominat “</w:t>
      </w:r>
      <w:r>
        <w:rPr>
          <w:rFonts w:eastAsia="Arial"/>
          <w:sz w:val="20"/>
        </w:rPr>
        <w:t xml:space="preserve">PROJ0002 RESOLUCIÓ </w:t>
      </w:r>
      <w:proofErr w:type="spellStart"/>
      <w:r>
        <w:rPr>
          <w:rFonts w:eastAsia="Arial"/>
          <w:sz w:val="20"/>
        </w:rPr>
        <w:t>BPA</w:t>
      </w:r>
      <w:proofErr w:type="spellEnd"/>
      <w:r>
        <w:rPr>
          <w:rFonts w:eastAsia="Arial"/>
        </w:rPr>
        <w:t>” correspon a les despeses derivades del procés de resolució de l’entitat Banca Privada d’Andorra, SA, d’un import total de 20.022.376,10 euros. Aquestes despeses són en concepte de “Treballs realitzats per empreses, estudis i treballs tècnics”, per 19.963.532,65 euros, i en concepte d’inversió real per un import de 58.843,45 euros.</w:t>
      </w:r>
    </w:p>
    <w:p w:rsidR="002C794E" w:rsidRDefault="002C794E" w:rsidP="002C794E">
      <w:pPr>
        <w:rPr>
          <w:rFonts w:eastAsia="Arial"/>
        </w:rPr>
      </w:pPr>
      <w:r>
        <w:rPr>
          <w:color w:val="000000"/>
          <w:lang w:eastAsia="ca-ES"/>
        </w:rPr>
        <w:t xml:space="preserve">El Govern no disposa de crèdits suficients al </w:t>
      </w:r>
      <w:proofErr w:type="spellStart"/>
      <w:r>
        <w:rPr>
          <w:rFonts w:eastAsia="Arial"/>
        </w:rPr>
        <w:t>subconcepte</w:t>
      </w:r>
      <w:proofErr w:type="spellEnd"/>
      <w:r>
        <w:rPr>
          <w:rFonts w:eastAsia="Arial"/>
        </w:rPr>
        <w:t xml:space="preserve"> 41119, “Agència Estatal de Resolució d’Entitats Bancàries”, que va habilitar d’acord amb la disposició addicional tercera de la Llei 8/2015 per fer front a la totalitat de les despeses corrents. Els crèdits necessaris per suplementar la partida esmentada </w:t>
      </w:r>
      <w:r>
        <w:t>-</w:t>
      </w:r>
      <w:r>
        <w:rPr>
          <w:rFonts w:eastAsia="Arial"/>
        </w:rPr>
        <w:t>que han motivat l’aprovació d’un suplement de crèdit per part del Govern- es xifren en 180.358,96 euros i resulten de la diferència entre l’import de la dotació provisional (500.000 euros) i l’import estimat de les despeses corrents del projecte denominat “</w:t>
      </w:r>
      <w:r>
        <w:rPr>
          <w:rFonts w:eastAsia="Arial"/>
          <w:sz w:val="20"/>
        </w:rPr>
        <w:t>PROJ0001 SERVEIS GENERALS</w:t>
      </w:r>
      <w:r>
        <w:rPr>
          <w:rFonts w:eastAsia="Arial"/>
          <w:b/>
          <w:sz w:val="20"/>
        </w:rPr>
        <w:t xml:space="preserve"> </w:t>
      </w:r>
      <w:proofErr w:type="spellStart"/>
      <w:r>
        <w:rPr>
          <w:rFonts w:eastAsia="Arial"/>
          <w:sz w:val="20"/>
        </w:rPr>
        <w:t>AREB</w:t>
      </w:r>
      <w:proofErr w:type="spellEnd"/>
      <w:r>
        <w:rPr>
          <w:rFonts w:eastAsia="Arial"/>
        </w:rPr>
        <w:t>” del pressupost d’aquest ens públic (680.358,96 euros).</w:t>
      </w:r>
    </w:p>
    <w:p w:rsidR="002C794E" w:rsidRDefault="002C794E" w:rsidP="002C794E">
      <w:pPr>
        <w:rPr>
          <w:rFonts w:eastAsia="Arial"/>
        </w:rPr>
      </w:pPr>
      <w:r>
        <w:rPr>
          <w:rFonts w:eastAsia="Arial"/>
        </w:rPr>
        <w:t xml:space="preserve">El Govern no disposa dels crèdits per fer front a la transferència de capital i al préstec a </w:t>
      </w:r>
      <w:proofErr w:type="spellStart"/>
      <w:r>
        <w:rPr>
          <w:rFonts w:eastAsia="Arial"/>
        </w:rPr>
        <w:t>l’AREB</w:t>
      </w:r>
      <w:proofErr w:type="spellEnd"/>
      <w:r>
        <w:rPr>
          <w:rFonts w:eastAsia="Arial"/>
        </w:rPr>
        <w:t xml:space="preserve"> per un import de 20.155,10 euros i de 20.022.376,10 euros, respectivament, en el pressupost de l’exercici 2015. Per aquest motiu, ha aprovat un crèdit extraordinari per poder fer-hi front.</w:t>
      </w:r>
    </w:p>
    <w:p w:rsidR="002C794E" w:rsidRDefault="002C794E" w:rsidP="002C794E">
      <w:pPr>
        <w:rPr>
          <w:color w:val="000000"/>
        </w:rPr>
      </w:pPr>
      <w:r>
        <w:rPr>
          <w:rFonts w:eastAsia="Arial"/>
        </w:rPr>
        <w:t xml:space="preserve">Es fa avinent que 1.500.000 euros de l’import del crèdit extraordinari en concepte de préstec a </w:t>
      </w:r>
      <w:proofErr w:type="spellStart"/>
      <w:r>
        <w:rPr>
          <w:rFonts w:eastAsia="Arial"/>
        </w:rPr>
        <w:t>l’AREB</w:t>
      </w:r>
      <w:proofErr w:type="spellEnd"/>
      <w:r>
        <w:rPr>
          <w:rFonts w:eastAsia="Arial"/>
        </w:rPr>
        <w:t xml:space="preserve"> correspon a la ratificació de l’avenç de fons que el Govern ha aprovat en la mateixa data del 21 d’octubre del 2015, a l’efecte que el Govern pugui fer efectiu aquest import a </w:t>
      </w:r>
      <w:proofErr w:type="spellStart"/>
      <w:r>
        <w:rPr>
          <w:rFonts w:eastAsia="Arial"/>
        </w:rPr>
        <w:t>l’AREB</w:t>
      </w:r>
      <w:proofErr w:type="spellEnd"/>
      <w:r>
        <w:rPr>
          <w:rFonts w:eastAsia="Arial"/>
        </w:rPr>
        <w:t xml:space="preserve"> perquè aquest ens públic pugui al seu torn fer front a </w:t>
      </w:r>
      <w:r>
        <w:rPr>
          <w:color w:val="000000"/>
        </w:rPr>
        <w:t xml:space="preserve">part de les </w:t>
      </w:r>
      <w:r>
        <w:rPr>
          <w:rFonts w:eastAsia="Arial"/>
        </w:rPr>
        <w:t xml:space="preserve">despeses derivades del procés de resolució de l’entitat Banca Privada d’Andorra, SA. </w:t>
      </w:r>
    </w:p>
    <w:p w:rsidR="002C794E" w:rsidRDefault="002C794E" w:rsidP="002C794E">
      <w:pPr>
        <w:rPr>
          <w:rFonts w:eastAsia="Arial"/>
        </w:rPr>
      </w:pPr>
      <w:r>
        <w:rPr>
          <w:rFonts w:eastAsia="Arial"/>
        </w:rPr>
        <w:t xml:space="preserve">La urgència i la necessitat d’aquestes despeses queden justificades, d’una banda, pel que fa al préstec destinat a finançar les despeses derivades del procés de resolució de l’entitat Banca Privada d’Andorra, SA, pel fet d’acomplir les obligacions contractuals en concepte de treballs realitzats per empreses, estudis i treballs tècnics, principalment i per regularitzar la situació pressupostària d’aquestes obligacions contractuals, d’acord amb la Llei general de les finances públiques i la normativa concordant; i de l’altra, quant a la transferència corrent i a la transferència de capital destinades a finançar les despeses de funcionament pròpies de l’ens públic, perquè </w:t>
      </w:r>
      <w:proofErr w:type="spellStart"/>
      <w:r>
        <w:rPr>
          <w:rFonts w:eastAsia="Arial"/>
        </w:rPr>
        <w:t>l’AREB</w:t>
      </w:r>
      <w:proofErr w:type="spellEnd"/>
      <w:r>
        <w:rPr>
          <w:rFonts w:eastAsia="Arial"/>
        </w:rPr>
        <w:t xml:space="preserve"> pugui assumir i exercir correctament </w:t>
      </w:r>
      <w:r>
        <w:rPr>
          <w:rFonts w:eastAsia="Arial"/>
        </w:rPr>
        <w:lastRenderedPageBreak/>
        <w:t>les seves competències i per al seu bon funcionament.</w:t>
      </w:r>
    </w:p>
    <w:p w:rsidR="002C794E" w:rsidRDefault="002C794E" w:rsidP="002C794E">
      <w:r>
        <w:rPr>
          <w:lang w:eastAsia="ca-ES"/>
        </w:rPr>
        <w:t xml:space="preserve">Vist que el Govern, per acord del 21 d’octubre del 2015, ha aprovat un avenç de fons per un import total d’1.500.000 euros </w:t>
      </w:r>
      <w:r>
        <w:t xml:space="preserve">per fer front a un préstec a </w:t>
      </w:r>
      <w:proofErr w:type="spellStart"/>
      <w:r>
        <w:t>l’AREB</w:t>
      </w:r>
      <w:proofErr w:type="spellEnd"/>
      <w:r>
        <w:t xml:space="preserve"> destinat a finançar part de les despeses derivades del procés de resolució de l’entitat Banca Privada d’Andorra, SA;</w:t>
      </w:r>
    </w:p>
    <w:p w:rsidR="002C794E" w:rsidRDefault="002C794E" w:rsidP="002C794E">
      <w:r>
        <w:t>Vist l’informe de la Intervenció General;</w:t>
      </w:r>
    </w:p>
    <w:p w:rsidR="002C794E" w:rsidRDefault="002C794E" w:rsidP="002C794E">
      <w:r>
        <w:t xml:space="preserve">Vist l’acord del Consell d’Administració de </w:t>
      </w:r>
      <w:r>
        <w:rPr>
          <w:rFonts w:eastAsia="Arial"/>
        </w:rPr>
        <w:t>l’Agència Estatal de Resolució d’Entitats Bancàries</w:t>
      </w:r>
      <w:r>
        <w:t xml:space="preserve"> del</w:t>
      </w:r>
      <w:r>
        <w:rPr>
          <w:lang w:eastAsia="ca-ES"/>
        </w:rPr>
        <w:t xml:space="preserve"> 27 d’agost del 2015</w:t>
      </w:r>
      <w:r>
        <w:t>;</w:t>
      </w:r>
    </w:p>
    <w:p w:rsidR="002C794E" w:rsidRDefault="002C794E" w:rsidP="002C794E">
      <w:r>
        <w:t xml:space="preserve">Vist l’acord del Consell d’Administració de </w:t>
      </w:r>
      <w:r>
        <w:rPr>
          <w:rFonts w:eastAsia="Arial"/>
        </w:rPr>
        <w:t>l’Agència Estatal de Resolució d’Entitats Bancàries</w:t>
      </w:r>
      <w:r>
        <w:t xml:space="preserve"> del</w:t>
      </w:r>
      <w:r>
        <w:rPr>
          <w:lang w:eastAsia="ca-ES"/>
        </w:rPr>
        <w:t xml:space="preserve"> 8 d’octubre del 2015</w:t>
      </w:r>
      <w:r>
        <w:t>;</w:t>
      </w:r>
    </w:p>
    <w:p w:rsidR="002C794E" w:rsidRDefault="002C794E" w:rsidP="002C794E">
      <w:r>
        <w:t>Vist l’acord de Govern del 21 d’octubre del 2015;</w:t>
      </w:r>
    </w:p>
    <w:p w:rsidR="002C794E" w:rsidRDefault="002C794E" w:rsidP="002C794E">
      <w:pPr>
        <w:pStyle w:val="article"/>
        <w:rPr>
          <w:rFonts w:eastAsia="Arial"/>
          <w:i/>
        </w:rPr>
      </w:pPr>
      <w:r>
        <w:rPr>
          <w:rFonts w:eastAsia="Arial"/>
        </w:rPr>
        <w:t xml:space="preserve">Article 1. </w:t>
      </w:r>
      <w:r>
        <w:rPr>
          <w:rFonts w:eastAsia="Arial"/>
          <w:i/>
        </w:rPr>
        <w:t>Modificació de l’apartat 1 de l’article 1</w:t>
      </w:r>
    </w:p>
    <w:p w:rsidR="002C794E" w:rsidRDefault="002C794E" w:rsidP="002C794E">
      <w:r>
        <w:rPr>
          <w:rFonts w:eastAsia="Arial"/>
        </w:rPr>
        <w:t>Es modifica l’apartat 1 de l’article 1 de la Llei 7/2015, del 15 de gener, del pressupost per a l’exercici del 2015, que queda redactat com segueix:</w:t>
      </w:r>
      <w:r>
        <w:t xml:space="preserve"> </w:t>
      </w:r>
    </w:p>
    <w:p w:rsidR="002C794E" w:rsidRDefault="002C794E" w:rsidP="002C794E">
      <w:pPr>
        <w:rPr>
          <w:i/>
          <w:lang w:eastAsia="ca-ES"/>
        </w:rPr>
      </w:pPr>
      <w:r>
        <w:rPr>
          <w:rFonts w:eastAsia="Arial"/>
        </w:rPr>
        <w:t>“</w:t>
      </w:r>
      <w:r>
        <w:rPr>
          <w:lang w:eastAsia="ca-ES"/>
        </w:rPr>
        <w:t xml:space="preserve">Article 1. </w:t>
      </w:r>
      <w:r>
        <w:rPr>
          <w:i/>
          <w:lang w:eastAsia="ca-ES"/>
        </w:rPr>
        <w:t>Àmbit del pressupost de l’Estat i rang de la Llei</w:t>
      </w:r>
    </w:p>
    <w:p w:rsidR="002C794E" w:rsidRDefault="002C794E" w:rsidP="002C794E">
      <w:pPr>
        <w:rPr>
          <w:lang w:eastAsia="ca-ES"/>
        </w:rPr>
      </w:pPr>
      <w:r>
        <w:rPr>
          <w:lang w:eastAsia="ca-ES"/>
        </w:rPr>
        <w:t>1. En el pressupost de l’Estat per a l’exercici 2015 s’hi integren:</w:t>
      </w:r>
    </w:p>
    <w:p w:rsidR="002C794E" w:rsidRDefault="002C794E" w:rsidP="002C794E">
      <w:pPr>
        <w:rPr>
          <w:lang w:eastAsia="ca-ES"/>
        </w:rPr>
      </w:pPr>
      <w:r>
        <w:rPr>
          <w:lang w:eastAsia="ca-ES"/>
        </w:rPr>
        <w:t>a) El pressupost de l’Administració general.</w:t>
      </w:r>
    </w:p>
    <w:p w:rsidR="002C794E" w:rsidRDefault="002C794E" w:rsidP="002C794E">
      <w:pPr>
        <w:rPr>
          <w:lang w:eastAsia="ca-ES"/>
        </w:rPr>
      </w:pPr>
      <w:r>
        <w:rPr>
          <w:lang w:eastAsia="ca-ES"/>
        </w:rPr>
        <w:t>b) Els pressupostos de les entitats parapúbliques, de dret públic i altres organismes:</w:t>
      </w:r>
    </w:p>
    <w:p w:rsidR="002C794E" w:rsidRDefault="002C794E" w:rsidP="002C794E">
      <w:pPr>
        <w:rPr>
          <w:lang w:eastAsia="ca-ES"/>
        </w:rPr>
      </w:pPr>
      <w:r>
        <w:rPr>
          <w:lang w:eastAsia="ca-ES"/>
        </w:rPr>
        <w:t>- Caixa Andorrana de Seguretat Social</w:t>
      </w:r>
    </w:p>
    <w:p w:rsidR="002C794E" w:rsidRDefault="002C794E" w:rsidP="002C794E">
      <w:pPr>
        <w:rPr>
          <w:lang w:eastAsia="ca-ES"/>
        </w:rPr>
      </w:pPr>
      <w:r>
        <w:rPr>
          <w:lang w:eastAsia="ca-ES"/>
        </w:rPr>
        <w:t>- Institut Nacional Andorrà de Finances</w:t>
      </w:r>
    </w:p>
    <w:p w:rsidR="002C794E" w:rsidRDefault="002C794E" w:rsidP="002C794E">
      <w:pPr>
        <w:rPr>
          <w:lang w:eastAsia="ca-ES"/>
        </w:rPr>
      </w:pPr>
      <w:r>
        <w:rPr>
          <w:lang w:eastAsia="ca-ES"/>
        </w:rPr>
        <w:t>- Servei Andorrà d’Atenció Sanitària</w:t>
      </w:r>
    </w:p>
    <w:p w:rsidR="002C794E" w:rsidRDefault="002C794E" w:rsidP="002C794E">
      <w:pPr>
        <w:rPr>
          <w:lang w:eastAsia="ca-ES"/>
        </w:rPr>
      </w:pPr>
      <w:r>
        <w:rPr>
          <w:lang w:eastAsia="ca-ES"/>
        </w:rPr>
        <w:t>- Forces Elèctriques d’Andorra</w:t>
      </w:r>
    </w:p>
    <w:p w:rsidR="002C794E" w:rsidRDefault="002C794E" w:rsidP="002C794E">
      <w:pPr>
        <w:rPr>
          <w:lang w:eastAsia="ca-ES"/>
        </w:rPr>
      </w:pPr>
      <w:r>
        <w:rPr>
          <w:lang w:eastAsia="ca-ES"/>
        </w:rPr>
        <w:t>- Escola de Formació de Professions Esportives i de Muntanya</w:t>
      </w:r>
    </w:p>
    <w:p w:rsidR="002C794E" w:rsidRDefault="002C794E" w:rsidP="002C794E">
      <w:pPr>
        <w:rPr>
          <w:lang w:eastAsia="ca-ES"/>
        </w:rPr>
      </w:pPr>
      <w:r>
        <w:rPr>
          <w:lang w:eastAsia="ca-ES"/>
        </w:rPr>
        <w:t>- Institut d’Estudis Andorrans</w:t>
      </w:r>
    </w:p>
    <w:p w:rsidR="002C794E" w:rsidRDefault="002C794E" w:rsidP="002C794E">
      <w:pPr>
        <w:rPr>
          <w:lang w:eastAsia="ca-ES"/>
        </w:rPr>
      </w:pPr>
      <w:r>
        <w:rPr>
          <w:lang w:eastAsia="ca-ES"/>
        </w:rPr>
        <w:t>- Universitat d’Andorra</w:t>
      </w:r>
    </w:p>
    <w:p w:rsidR="002C794E" w:rsidRDefault="002C794E" w:rsidP="002C794E">
      <w:pPr>
        <w:rPr>
          <w:lang w:eastAsia="ca-ES"/>
        </w:rPr>
      </w:pPr>
      <w:r>
        <w:rPr>
          <w:lang w:eastAsia="ca-ES"/>
        </w:rPr>
        <w:t>- Societat de Gestió Col·lectiva de Drets d’Autor i Drets Veïns del Principat d’Andorra</w:t>
      </w:r>
    </w:p>
    <w:p w:rsidR="002C794E" w:rsidRDefault="002C794E" w:rsidP="002C794E">
      <w:pPr>
        <w:rPr>
          <w:rFonts w:eastAsia="Arial"/>
        </w:rPr>
      </w:pPr>
      <w:r>
        <w:rPr>
          <w:lang w:eastAsia="ca-ES"/>
        </w:rPr>
        <w:t xml:space="preserve">- </w:t>
      </w:r>
      <w:r>
        <w:rPr>
          <w:rFonts w:eastAsia="Arial"/>
        </w:rPr>
        <w:t xml:space="preserve">Agència Estatal de Resolució d’Entitats Bancàries </w:t>
      </w:r>
    </w:p>
    <w:p w:rsidR="002C794E" w:rsidRDefault="002C794E" w:rsidP="002C794E">
      <w:pPr>
        <w:rPr>
          <w:lang w:eastAsia="ca-ES"/>
        </w:rPr>
      </w:pPr>
      <w:r>
        <w:rPr>
          <w:lang w:eastAsia="ca-ES"/>
        </w:rPr>
        <w:t>c) Els pressupostos de les societats públiques participades per l’Administració general:</w:t>
      </w:r>
    </w:p>
    <w:p w:rsidR="002C794E" w:rsidRDefault="002C794E" w:rsidP="002C794E">
      <w:pPr>
        <w:rPr>
          <w:lang w:eastAsia="ca-ES"/>
        </w:rPr>
      </w:pPr>
      <w:r>
        <w:rPr>
          <w:lang w:eastAsia="ca-ES"/>
        </w:rPr>
        <w:t xml:space="preserve">- Andorra </w:t>
      </w:r>
      <w:proofErr w:type="spellStart"/>
      <w:r>
        <w:rPr>
          <w:lang w:eastAsia="ca-ES"/>
        </w:rPr>
        <w:t>Telecom</w:t>
      </w:r>
      <w:proofErr w:type="spellEnd"/>
      <w:r>
        <w:rPr>
          <w:lang w:eastAsia="ca-ES"/>
        </w:rPr>
        <w:t>, SAU</w:t>
      </w:r>
    </w:p>
    <w:p w:rsidR="002C794E" w:rsidRDefault="002C794E" w:rsidP="002C794E">
      <w:pPr>
        <w:rPr>
          <w:lang w:eastAsia="ca-ES"/>
        </w:rPr>
      </w:pPr>
      <w:r>
        <w:rPr>
          <w:lang w:eastAsia="ca-ES"/>
        </w:rPr>
        <w:t>- Ràdio i Televisió d’Andorra, SA</w:t>
      </w:r>
    </w:p>
    <w:p w:rsidR="002C794E" w:rsidRDefault="002C794E" w:rsidP="002C794E">
      <w:pPr>
        <w:rPr>
          <w:lang w:eastAsia="ca-ES"/>
        </w:rPr>
      </w:pPr>
      <w:r>
        <w:rPr>
          <w:lang w:eastAsia="ca-ES"/>
        </w:rPr>
        <w:t>- Ramaders d’Andorra, SA</w:t>
      </w:r>
    </w:p>
    <w:p w:rsidR="002C794E" w:rsidRDefault="002C794E" w:rsidP="002C794E">
      <w:pPr>
        <w:rPr>
          <w:lang w:eastAsia="ca-ES"/>
        </w:rPr>
      </w:pPr>
      <w:r>
        <w:rPr>
          <w:lang w:eastAsia="ca-ES"/>
        </w:rPr>
        <w:t>- Andorra Turisme, SAU</w:t>
      </w:r>
    </w:p>
    <w:p w:rsidR="002C794E" w:rsidRDefault="002C794E" w:rsidP="002C794E">
      <w:pPr>
        <w:rPr>
          <w:lang w:eastAsia="ca-ES"/>
        </w:rPr>
      </w:pPr>
      <w:r>
        <w:rPr>
          <w:lang w:eastAsia="ca-ES"/>
        </w:rPr>
        <w:t>- Centre de Tractament de Residus d’Andorra, SA</w:t>
      </w:r>
    </w:p>
    <w:p w:rsidR="002C794E" w:rsidRDefault="002C794E" w:rsidP="002C794E">
      <w:pPr>
        <w:rPr>
          <w:lang w:eastAsia="ca-ES"/>
        </w:rPr>
      </w:pPr>
      <w:r>
        <w:rPr>
          <w:lang w:eastAsia="ca-ES"/>
        </w:rPr>
        <w:t>- Andorra Desenvolupament i Inversió, SAU</w:t>
      </w:r>
      <w:r>
        <w:rPr>
          <w:rFonts w:eastAsia="Arial"/>
        </w:rPr>
        <w:t>.”</w:t>
      </w:r>
      <w:r>
        <w:t xml:space="preserve"> </w:t>
      </w:r>
    </w:p>
    <w:p w:rsidR="002C794E" w:rsidRPr="008C126A" w:rsidRDefault="002C794E" w:rsidP="008C126A">
      <w:pPr>
        <w:pStyle w:val="normalN"/>
        <w:rPr>
          <w:rFonts w:eastAsia="Arial"/>
          <w:i/>
        </w:rPr>
      </w:pPr>
      <w:r>
        <w:rPr>
          <w:rFonts w:eastAsia="Arial"/>
        </w:rPr>
        <w:lastRenderedPageBreak/>
        <w:t xml:space="preserve">Article 2. </w:t>
      </w:r>
      <w:r w:rsidRPr="008C126A">
        <w:rPr>
          <w:rFonts w:eastAsia="Arial"/>
          <w:i/>
        </w:rPr>
        <w:t>Addició d’un nou paràgraf a l’apartat 2 de l’article 2</w:t>
      </w:r>
    </w:p>
    <w:p w:rsidR="002C794E" w:rsidRDefault="002C794E" w:rsidP="002C794E">
      <w:pPr>
        <w:rPr>
          <w:rFonts w:eastAsia="Arial"/>
        </w:rPr>
      </w:pPr>
      <w:r>
        <w:rPr>
          <w:rFonts w:eastAsia="Arial"/>
        </w:rPr>
        <w:t xml:space="preserve">S’afegeix el paràgraf següent a l’apartat 2 de l’article 2 de la Llei 7/2015, del 15 de gener, del pressupost per a l’exercici del 2015: </w:t>
      </w:r>
    </w:p>
    <w:p w:rsidR="002C794E" w:rsidRDefault="002C794E" w:rsidP="002C794E">
      <w:pPr>
        <w:rPr>
          <w:rFonts w:eastAsia="Arial"/>
        </w:rPr>
      </w:pPr>
      <w:r>
        <w:rPr>
          <w:rFonts w:eastAsia="Arial"/>
        </w:rPr>
        <w:t>“En el pressupost de l’Agència Estatal de Resolució d’Entitats Bancàries s’atorguen crèdits per atendre la totalitat de les seves obligacions per un import de 20.722.890,16 euros. Els recursos previstos durant l’exercici pugen a 20.722.890,16 euros.”</w:t>
      </w:r>
    </w:p>
    <w:p w:rsidR="002C794E" w:rsidRPr="008C126A" w:rsidRDefault="002C794E" w:rsidP="008C126A">
      <w:pPr>
        <w:pStyle w:val="article"/>
        <w:rPr>
          <w:rFonts w:eastAsia="Arial"/>
          <w:i/>
        </w:rPr>
      </w:pPr>
      <w:r>
        <w:rPr>
          <w:rFonts w:eastAsia="Arial"/>
        </w:rPr>
        <w:t xml:space="preserve">Article 3. </w:t>
      </w:r>
      <w:r w:rsidRPr="008C126A">
        <w:rPr>
          <w:rFonts w:eastAsia="Arial"/>
          <w:i/>
        </w:rPr>
        <w:t>Addicció d’un punt h a l’apartat 1 de l’article 25</w:t>
      </w:r>
    </w:p>
    <w:p w:rsidR="002C794E" w:rsidRDefault="002C794E" w:rsidP="002C794E">
      <w:pPr>
        <w:rPr>
          <w:rFonts w:eastAsia="Arial"/>
        </w:rPr>
      </w:pPr>
      <w:r>
        <w:rPr>
          <w:rFonts w:eastAsia="Arial"/>
        </w:rPr>
        <w:t xml:space="preserve">S’afegeix el punt </w:t>
      </w:r>
      <w:r>
        <w:rPr>
          <w:rFonts w:eastAsia="Arial"/>
          <w:i/>
        </w:rPr>
        <w:t>h</w:t>
      </w:r>
      <w:r>
        <w:rPr>
          <w:rFonts w:eastAsia="Arial"/>
        </w:rPr>
        <w:t xml:space="preserve"> següent a l’apartat 1 de l’article 25 de la Llei 7/2015, del 15 de gener, del pressupost per a l’exercici del 2015:</w:t>
      </w:r>
    </w:p>
    <w:p w:rsidR="002C794E" w:rsidRDefault="002C794E" w:rsidP="002C794E">
      <w:pPr>
        <w:rPr>
          <w:rFonts w:eastAsia="Arial"/>
        </w:rPr>
      </w:pPr>
      <w:r>
        <w:rPr>
          <w:rFonts w:eastAsia="Arial"/>
        </w:rPr>
        <w:t>“h) Concertar operacions d’endeutament per formalitzar préstecs, crèdits o qualsevol altra operació d’endeutament, per un import de 20.022.376,10 euros, per fer front a les despeses derivades del procés de resolució de l’entitat Banca Privada d’Andorra, SA.</w:t>
      </w:r>
    </w:p>
    <w:p w:rsidR="002C794E" w:rsidRDefault="002C794E" w:rsidP="002C794E">
      <w:pPr>
        <w:rPr>
          <w:rFonts w:eastAsia="Arial"/>
        </w:rPr>
      </w:pPr>
      <w:r>
        <w:rPr>
          <w:rFonts w:eastAsia="Arial"/>
        </w:rPr>
        <w:t>Aquest nou endeutament es destina a la concessió d’un préstec per part del Govern a l’Agència Estatal de Resolució d’Entitats Bancàries.”</w:t>
      </w:r>
    </w:p>
    <w:p w:rsidR="002C794E" w:rsidRPr="008C126A" w:rsidRDefault="002C794E" w:rsidP="008C126A">
      <w:pPr>
        <w:pStyle w:val="article"/>
        <w:rPr>
          <w:rFonts w:eastAsia="Arial"/>
          <w:i/>
        </w:rPr>
      </w:pPr>
      <w:r>
        <w:rPr>
          <w:rFonts w:eastAsia="Arial"/>
        </w:rPr>
        <w:t xml:space="preserve">Article 4. </w:t>
      </w:r>
      <w:r w:rsidRPr="008C126A">
        <w:rPr>
          <w:rFonts w:eastAsia="Arial"/>
          <w:i/>
        </w:rPr>
        <w:t>Pressupost de l’Agència Estatal de Resolució d’Entitats Bancàries</w:t>
      </w:r>
    </w:p>
    <w:p w:rsidR="002C794E" w:rsidRDefault="002C794E" w:rsidP="002C794E">
      <w:pPr>
        <w:rPr>
          <w:rFonts w:eastAsia="Arial"/>
        </w:rPr>
      </w:pPr>
      <w:r>
        <w:rPr>
          <w:rFonts w:eastAsia="Arial"/>
        </w:rPr>
        <w:t>S’aprova el pressupost d’ingressos i el pressupost de despeses per a l’exercici 2015 de l’Agència Estatal de Resolució d’Entitats Bancàries que s’annexa a la Llei 7/2015.</w:t>
      </w:r>
    </w:p>
    <w:p w:rsidR="002C794E" w:rsidRDefault="002C794E" w:rsidP="002C794E">
      <w:pPr>
        <w:rPr>
          <w:rFonts w:eastAsia="Arial"/>
        </w:rPr>
      </w:pPr>
      <w:r>
        <w:rPr>
          <w:rFonts w:eastAsia="Arial"/>
        </w:rPr>
        <w:t>“Pressupost de l’Agència Estatal de Resolució d’Entitats Bancàries (</w:t>
      </w:r>
      <w:proofErr w:type="spellStart"/>
      <w:r>
        <w:rPr>
          <w:rFonts w:eastAsia="Arial"/>
        </w:rPr>
        <w:t>AREB</w:t>
      </w:r>
      <w:proofErr w:type="spellEnd"/>
      <w:r>
        <w:rPr>
          <w:rFonts w:eastAsia="Arial"/>
        </w:rPr>
        <w:t>)</w:t>
      </w:r>
    </w:p>
    <w:p w:rsidR="002C794E" w:rsidRDefault="002C794E" w:rsidP="008C126A">
      <w:pPr>
        <w:keepNext/>
        <w:spacing w:before="240"/>
        <w:rPr>
          <w:rFonts w:eastAsia="Arial"/>
        </w:rPr>
      </w:pPr>
      <w:r>
        <w:rPr>
          <w:rFonts w:eastAsia="Arial"/>
        </w:rPr>
        <w:t>Pressupost de despeses</w:t>
      </w:r>
    </w:p>
    <w:p w:rsidR="002C794E" w:rsidRDefault="002C794E" w:rsidP="008C126A">
      <w:pPr>
        <w:spacing w:line="240" w:lineRule="auto"/>
        <w:rPr>
          <w:rFonts w:ascii="Arial" w:eastAsia="Arial" w:hAnsi="Arial" w:cs="Arial"/>
        </w:rPr>
      </w:pPr>
      <w:r>
        <w:rPr>
          <w:noProof/>
          <w:lang w:val="es-ES"/>
        </w:rPr>
        <w:drawing>
          <wp:inline distT="0" distB="0" distL="0" distR="0">
            <wp:extent cx="2876550" cy="2257425"/>
            <wp:effectExtent l="0" t="0" r="0" b="9525"/>
            <wp:docPr id="4"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76550" cy="2257425"/>
                    </a:xfrm>
                    <a:prstGeom prst="rect">
                      <a:avLst/>
                    </a:prstGeom>
                    <a:noFill/>
                    <a:ln>
                      <a:noFill/>
                    </a:ln>
                  </pic:spPr>
                </pic:pic>
              </a:graphicData>
            </a:graphic>
          </wp:inline>
        </w:drawing>
      </w:r>
    </w:p>
    <w:p w:rsidR="002C794E" w:rsidRPr="008C126A" w:rsidRDefault="002C794E" w:rsidP="008C126A">
      <w:pPr>
        <w:keepNext/>
        <w:spacing w:before="240"/>
        <w:rPr>
          <w:rFonts w:eastAsia="Arial"/>
        </w:rPr>
      </w:pPr>
      <w:r w:rsidRPr="008C126A">
        <w:rPr>
          <w:rFonts w:eastAsia="Arial"/>
        </w:rPr>
        <w:lastRenderedPageBreak/>
        <w:t>Pressupost d’ingressos</w:t>
      </w:r>
    </w:p>
    <w:p w:rsidR="002C794E" w:rsidRDefault="002C794E" w:rsidP="008C126A">
      <w:pPr>
        <w:spacing w:line="240" w:lineRule="auto"/>
        <w:rPr>
          <w:lang w:eastAsia="ca-ES"/>
        </w:rPr>
      </w:pPr>
      <w:r>
        <w:rPr>
          <w:noProof/>
          <w:lang w:val="es-ES"/>
        </w:rPr>
        <w:drawing>
          <wp:inline distT="0" distB="0" distL="0" distR="0">
            <wp:extent cx="3048000" cy="1352550"/>
            <wp:effectExtent l="0" t="0" r="0" b="0"/>
            <wp:docPr id="5" name="Imat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48000" cy="1352550"/>
                    </a:xfrm>
                    <a:prstGeom prst="rect">
                      <a:avLst/>
                    </a:prstGeom>
                    <a:noFill/>
                    <a:ln>
                      <a:noFill/>
                    </a:ln>
                  </pic:spPr>
                </pic:pic>
              </a:graphicData>
            </a:graphic>
          </wp:inline>
        </w:drawing>
      </w:r>
      <w:r>
        <w:rPr>
          <w:rFonts w:eastAsia="Arial"/>
        </w:rPr>
        <w:t>”</w:t>
      </w:r>
    </w:p>
    <w:p w:rsidR="002C794E" w:rsidRPr="008C126A" w:rsidRDefault="002C794E" w:rsidP="008C126A">
      <w:pPr>
        <w:pStyle w:val="article"/>
        <w:rPr>
          <w:i/>
          <w:lang w:eastAsia="ca-ES"/>
        </w:rPr>
      </w:pPr>
      <w:r>
        <w:rPr>
          <w:lang w:eastAsia="ca-ES"/>
        </w:rPr>
        <w:t xml:space="preserve">Article 5. </w:t>
      </w:r>
      <w:r w:rsidRPr="008C126A">
        <w:rPr>
          <w:i/>
          <w:lang w:eastAsia="ca-ES"/>
        </w:rPr>
        <w:t>Modificació qualitativa del pressupost del Govern</w:t>
      </w:r>
    </w:p>
    <w:p w:rsidR="002C794E" w:rsidRDefault="002C794E" w:rsidP="002C794E">
      <w:pPr>
        <w:rPr>
          <w:rFonts w:eastAsia="Arial"/>
        </w:rPr>
      </w:pPr>
      <w:r>
        <w:rPr>
          <w:rFonts w:eastAsia="Arial"/>
        </w:rPr>
        <w:t>S’aprova un crèdit extraordinari per a les partides pressupostàries següents del pressupost del Govern:</w:t>
      </w:r>
    </w:p>
    <w:p w:rsidR="002C794E" w:rsidRDefault="002C794E" w:rsidP="002C794E">
      <w:pPr>
        <w:rPr>
          <w:rFonts w:eastAsia="Arial"/>
        </w:rPr>
      </w:pPr>
      <w:r>
        <w:rPr>
          <w:rFonts w:eastAsia="Arial"/>
        </w:rPr>
        <w:t>230 Departament de Finances-231 Unitat de Prevenció i Lluita contra la Corrupció-PROJ-0002-Planificació i gestió del sistema financer-71119 l’Agència Estatal de Resolució d’Entitats Bancàries, per un import de 20.155,10 euros.</w:t>
      </w:r>
    </w:p>
    <w:p w:rsidR="002C794E" w:rsidRDefault="002C794E" w:rsidP="002C794E">
      <w:pPr>
        <w:rPr>
          <w:rFonts w:eastAsia="Arial"/>
        </w:rPr>
      </w:pPr>
      <w:r>
        <w:rPr>
          <w:rFonts w:eastAsia="Arial"/>
        </w:rPr>
        <w:t>230 Departament de Finances-231 Unitat de Prevenció i Lluita contra la Corrupció-PROJ-0002-Planificació i gestió del sistema financer-81119 Agència Estatal de Resolució d’Entitats Bancàries, per un import de 20.022.376,10 euros.</w:t>
      </w:r>
    </w:p>
    <w:p w:rsidR="002C794E" w:rsidRPr="008C126A" w:rsidRDefault="002C794E" w:rsidP="008C126A">
      <w:pPr>
        <w:pStyle w:val="article"/>
        <w:rPr>
          <w:i/>
          <w:lang w:eastAsia="ca-ES"/>
        </w:rPr>
      </w:pPr>
      <w:r>
        <w:rPr>
          <w:rFonts w:eastAsia="Arial"/>
        </w:rPr>
        <w:t xml:space="preserve">Article 6. </w:t>
      </w:r>
      <w:r w:rsidRPr="008C126A">
        <w:rPr>
          <w:i/>
          <w:lang w:eastAsia="ca-ES"/>
        </w:rPr>
        <w:t>Modificació quantitativa del pressupost del Govern</w:t>
      </w:r>
    </w:p>
    <w:p w:rsidR="002C794E" w:rsidRDefault="002C794E" w:rsidP="002C794E">
      <w:pPr>
        <w:rPr>
          <w:rFonts w:eastAsia="Arial"/>
        </w:rPr>
      </w:pPr>
      <w:r>
        <w:rPr>
          <w:rFonts w:eastAsia="Arial"/>
        </w:rPr>
        <w:t>S’aprova un suplement de crèdit per a la partida pressupostària següent del pressupost del Govern:</w:t>
      </w:r>
    </w:p>
    <w:p w:rsidR="002C794E" w:rsidRDefault="002C794E" w:rsidP="002C794E">
      <w:pPr>
        <w:rPr>
          <w:rFonts w:eastAsia="Arial"/>
        </w:rPr>
      </w:pPr>
      <w:r>
        <w:rPr>
          <w:rFonts w:eastAsia="Arial"/>
        </w:rPr>
        <w:t>230 Departament de Finances-231 Unitat de Prevenció i Lluita contra la Corrupció-PROJ-0002-Planificació i gestió del sistema financer-41119 l’Agència Estatal de Resolució d’Entitats Bancàries, per un import de 180.358,96 euros.</w:t>
      </w:r>
    </w:p>
    <w:p w:rsidR="002C794E" w:rsidRPr="008C126A" w:rsidRDefault="002C794E" w:rsidP="008C126A">
      <w:pPr>
        <w:pStyle w:val="article"/>
        <w:rPr>
          <w:i/>
          <w:lang w:eastAsia="ca-ES"/>
        </w:rPr>
      </w:pPr>
      <w:r>
        <w:t xml:space="preserve">Article 7. </w:t>
      </w:r>
      <w:r w:rsidRPr="008C126A">
        <w:rPr>
          <w:i/>
          <w:lang w:eastAsia="ca-ES"/>
        </w:rPr>
        <w:t>Finançament de les modificacions del pressupost del Govern</w:t>
      </w:r>
    </w:p>
    <w:p w:rsidR="002C794E" w:rsidRDefault="002C794E" w:rsidP="002C794E">
      <w:r>
        <w:t xml:space="preserve">1. El crèdit extraordinari per l’import de </w:t>
      </w:r>
      <w:r>
        <w:rPr>
          <w:rFonts w:eastAsia="Arial"/>
        </w:rPr>
        <w:t xml:space="preserve">20.022.376,10 </w:t>
      </w:r>
      <w:r>
        <w:t>euros es finança mitjançant un nou endeutament.</w:t>
      </w:r>
    </w:p>
    <w:p w:rsidR="002C794E" w:rsidRDefault="002C794E" w:rsidP="002C794E">
      <w:r>
        <w:t>2. El crèdit extraordinari de 20.155,10 euros i el suplement de crèdit de 180.358,96 euros es financen mitjançant la partida pressupostaria següent, per un import total de 200.514,06 euros:</w:t>
      </w:r>
    </w:p>
    <w:p w:rsidR="002C794E" w:rsidRDefault="002C794E" w:rsidP="002C794E">
      <w:r>
        <w:t>750 Departament d’Ordenament Territorial -754 Àrea d’Obra Pública-60700 Construcció de carreteres-1987-0000000088 CG3 Cruïlla CS340 - El Serrat</w:t>
      </w:r>
    </w:p>
    <w:p w:rsidR="002C794E" w:rsidRDefault="002C794E" w:rsidP="002C794E">
      <w:pPr>
        <w:pStyle w:val="Disposici"/>
      </w:pPr>
      <w:r>
        <w:rPr>
          <w:rFonts w:eastAsia="Arial"/>
        </w:rPr>
        <w:t>Disposició final</w:t>
      </w:r>
    </w:p>
    <w:p w:rsidR="002C794E" w:rsidRDefault="002C794E" w:rsidP="002C794E">
      <w:r>
        <w:rPr>
          <w:rFonts w:eastAsia="Arial"/>
        </w:rPr>
        <w:t xml:space="preserve">Aquesta Llei entra en vigor el mateix dia de ser publicada al </w:t>
      </w:r>
      <w:r>
        <w:rPr>
          <w:rFonts w:eastAsia="Arial"/>
          <w:i/>
        </w:rPr>
        <w:t>Butlletí Oficial del Principat d’Andorra</w:t>
      </w:r>
      <w:r>
        <w:rPr>
          <w:rFonts w:eastAsia="Arial"/>
        </w:rPr>
        <w:t>.</w:t>
      </w:r>
    </w:p>
    <w:p w:rsidR="002C794E" w:rsidRDefault="002C794E" w:rsidP="002C794E"/>
    <w:p w:rsidR="002C794E" w:rsidRDefault="002C794E" w:rsidP="002C794E"/>
    <w:p w:rsidR="002C794E" w:rsidRDefault="002C794E" w:rsidP="002C794E">
      <w:r>
        <w:t xml:space="preserve">En els termes precedents es formula l’informe de la Comissió Legislativa </w:t>
      </w:r>
      <w:r>
        <w:rPr>
          <w:szCs w:val="28"/>
        </w:rPr>
        <w:t>de Finances i Pressupost</w:t>
      </w:r>
      <w:r>
        <w:t xml:space="preserve"> que, d’acord amb l’article 100.1 del Reglament del Consell General, tramet al Sr. síndic general, als efectes escaients. </w:t>
      </w:r>
    </w:p>
    <w:p w:rsidR="008C126A" w:rsidRDefault="008C126A" w:rsidP="008C126A">
      <w:r>
        <w:rPr>
          <w:szCs w:val="28"/>
        </w:rPr>
        <w:t>Jordi Gallardo Fernàndez</w:t>
      </w:r>
      <w:r>
        <w:rPr>
          <w:szCs w:val="28"/>
        </w:rPr>
        <w:tab/>
      </w:r>
      <w:r>
        <w:rPr>
          <w:szCs w:val="28"/>
        </w:rPr>
        <w:br/>
        <w:t>Vicepresident de la Comissió Legislativa de Finances i Pressupost</w:t>
      </w:r>
    </w:p>
    <w:p w:rsidR="008C126A" w:rsidRDefault="008C126A" w:rsidP="008C126A">
      <w:r>
        <w:rPr>
          <w:szCs w:val="28"/>
          <w:lang w:val="en-US"/>
        </w:rPr>
        <w:t>Meritxell Mateu Pi</w:t>
      </w:r>
      <w:r>
        <w:rPr>
          <w:szCs w:val="28"/>
          <w:lang w:val="en-US"/>
        </w:rPr>
        <w:tab/>
      </w:r>
      <w:r>
        <w:rPr>
          <w:szCs w:val="28"/>
          <w:lang w:val="en-US"/>
        </w:rPr>
        <w:br/>
      </w:r>
      <w:r>
        <w:rPr>
          <w:szCs w:val="28"/>
        </w:rPr>
        <w:t>Presidenta de la Comissió Legislativa de de Finances i Pressupost</w:t>
      </w:r>
    </w:p>
    <w:p w:rsidR="00645B8E" w:rsidRDefault="00645B8E" w:rsidP="00645B8E"/>
    <w:p w:rsidR="008A009D" w:rsidRDefault="008A009D" w:rsidP="00645B8E">
      <w:pPr>
        <w:sectPr w:rsidR="008A009D">
          <w:footerReference w:type="default" r:id="rId15"/>
          <w:pgSz w:w="11907" w:h="16840"/>
          <w:pgMar w:top="1418" w:right="1134" w:bottom="1134" w:left="1134" w:header="567" w:footer="567" w:gutter="0"/>
          <w:cols w:num="2" w:space="720"/>
        </w:sectPr>
      </w:pPr>
    </w:p>
    <w:p w:rsidR="008A009D" w:rsidRDefault="008A009D" w:rsidP="00645B8E"/>
    <w:p w:rsidR="008A009D" w:rsidRDefault="008A009D">
      <w:pPr>
        <w:pStyle w:val="Piedepgina"/>
        <w:keepNext/>
        <w:keepLines/>
        <w:framePr w:w="9786" w:h="1701" w:hRule="exact" w:hSpace="181" w:wrap="around" w:vAnchor="page" w:hAnchor="page" w:x="1168" w:y="14045"/>
        <w:pBdr>
          <w:bottom w:val="single" w:sz="18" w:space="1" w:color="auto"/>
        </w:pBdr>
        <w:jc w:val="left"/>
        <w:rPr>
          <w:rStyle w:val="Nmerodepgina"/>
          <w:sz w:val="28"/>
        </w:rPr>
      </w:pPr>
      <w:r>
        <w:rPr>
          <w:rStyle w:val="Nmerodepgina"/>
          <w:sz w:val="28"/>
        </w:rPr>
        <w:t>Butlletí del Consell General</w:t>
      </w:r>
    </w:p>
    <w:p w:rsidR="008A009D" w:rsidRDefault="008A009D">
      <w:pPr>
        <w:pStyle w:val="Piedepgina"/>
        <w:keepNext/>
        <w:keepLines/>
        <w:framePr w:w="9786" w:h="1701" w:hRule="exact" w:hSpace="181" w:wrap="around" w:vAnchor="page" w:hAnchor="page" w:x="1168" w:y="14045"/>
        <w:spacing w:line="200" w:lineRule="exact"/>
        <w:jc w:val="left"/>
        <w:rPr>
          <w:sz w:val="14"/>
        </w:rPr>
      </w:pPr>
      <w:r>
        <w:rPr>
          <w:sz w:val="14"/>
        </w:rPr>
        <w:t xml:space="preserve">Dipòsit legal: </w:t>
      </w:r>
      <w:proofErr w:type="spellStart"/>
      <w:r>
        <w:rPr>
          <w:sz w:val="14"/>
        </w:rPr>
        <w:t>And</w:t>
      </w:r>
      <w:proofErr w:type="spellEnd"/>
      <w:r>
        <w:rPr>
          <w:sz w:val="14"/>
        </w:rPr>
        <w:t>. 262/94</w:t>
      </w:r>
      <w:r>
        <w:rPr>
          <w:sz w:val="14"/>
        </w:rPr>
        <w:br/>
        <w:t>ISSN 1024-9044</w:t>
      </w:r>
    </w:p>
    <w:p w:rsidR="008A009D" w:rsidRDefault="008A009D">
      <w:pPr>
        <w:pStyle w:val="Piedepgina"/>
        <w:framePr w:w="9786" w:h="1701" w:hRule="exact" w:hSpace="181" w:wrap="around" w:vAnchor="page" w:hAnchor="page" w:x="1168" w:y="14045"/>
        <w:spacing w:line="200" w:lineRule="exact"/>
        <w:jc w:val="left"/>
        <w:rPr>
          <w:sz w:val="14"/>
        </w:rPr>
      </w:pPr>
      <w:r>
        <w:rPr>
          <w:sz w:val="14"/>
        </w:rPr>
        <w:t xml:space="preserve">Preu de l'exemplar: 0,90 </w:t>
      </w:r>
      <w:r>
        <w:rPr>
          <w:rFonts w:ascii="Courier New" w:hAnsi="Courier New"/>
          <w:sz w:val="20"/>
        </w:rPr>
        <w:t>€</w:t>
      </w:r>
      <w:r>
        <w:rPr>
          <w:sz w:val="14"/>
        </w:rPr>
        <w:br/>
        <w:t>Subscripcions: Tel. 877877</w:t>
      </w:r>
    </w:p>
    <w:p w:rsidR="008A009D" w:rsidRPr="00645B8E" w:rsidRDefault="008A009D" w:rsidP="00645B8E"/>
    <w:sectPr w:rsidR="008A009D" w:rsidRPr="00645B8E">
      <w:headerReference w:type="even" r:id="rId16"/>
      <w:pgSz w:w="11907" w:h="16840"/>
      <w:pgMar w:top="1418" w:right="1134" w:bottom="1134" w:left="1134" w:header="567" w:footer="567" w:gutter="0"/>
      <w:cols w:num="2"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794E" w:rsidRDefault="002C794E">
      <w:r>
        <w:separator/>
      </w:r>
    </w:p>
  </w:endnote>
  <w:endnote w:type="continuationSeparator" w:id="0">
    <w:p w:rsidR="002C794E" w:rsidRDefault="002C7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oudyOlSt BT">
    <w:panose1 w:val="02020502050305020303"/>
    <w:charset w:val="00"/>
    <w:family w:val="roman"/>
    <w:pitch w:val="variable"/>
    <w:sig w:usb0="00000087" w:usb1="00000000" w:usb2="00000000" w:usb3="00000000" w:csb0="0000001B"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811" w:rsidRDefault="008B6811">
    <w:pPr>
      <w:pStyle w:val="Piedepgina"/>
      <w:jc w:val="center"/>
    </w:pPr>
    <w:r>
      <w:rPr>
        <w:rStyle w:val="Nmerodepgina"/>
      </w:rPr>
      <w:fldChar w:fldCharType="begin"/>
    </w:r>
    <w:r>
      <w:rPr>
        <w:rStyle w:val="Nmerodepgina"/>
      </w:rPr>
      <w:instrText xml:space="preserve"> PAGE </w:instrText>
    </w:r>
    <w:r>
      <w:rPr>
        <w:rStyle w:val="Nmerodepgina"/>
      </w:rPr>
      <w:fldChar w:fldCharType="separate"/>
    </w:r>
    <w:r>
      <w:rPr>
        <w:rStyle w:val="Nmerodepgina"/>
      </w:rPr>
      <w:t>2</w:t>
    </w:r>
    <w:r>
      <w:rPr>
        <w:rStyle w:val="Nmerodepgin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811" w:rsidRDefault="008B6811">
    <w:pPr>
      <w:pStyle w:val="Piedepgin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794E" w:rsidRDefault="002C794E">
      <w:r>
        <w:separator/>
      </w:r>
    </w:p>
  </w:footnote>
  <w:footnote w:type="continuationSeparator" w:id="0">
    <w:p w:rsidR="002C794E" w:rsidRDefault="002C79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811" w:rsidRDefault="008B6811">
    <w:pPr>
      <w:pStyle w:val="Encabezado"/>
      <w:tabs>
        <w:tab w:val="clear" w:pos="4536"/>
        <w:tab w:val="clear" w:pos="9696"/>
        <w:tab w:val="right" w:pos="9639"/>
      </w:tabs>
    </w:pPr>
    <w:r>
      <w:rPr>
        <w:rStyle w:val="Nmerodepgina"/>
        <w:sz w:val="20"/>
      </w:rPr>
      <w:fldChar w:fldCharType="begin"/>
    </w:r>
    <w:r>
      <w:rPr>
        <w:rStyle w:val="Nmerodepgina"/>
        <w:sz w:val="20"/>
      </w:rPr>
      <w:instrText xml:space="preserve"> PAGE </w:instrText>
    </w:r>
    <w:r>
      <w:rPr>
        <w:rStyle w:val="Nmerodepgina"/>
        <w:sz w:val="20"/>
      </w:rPr>
      <w:fldChar w:fldCharType="separate"/>
    </w:r>
    <w:r w:rsidR="003745FF">
      <w:rPr>
        <w:rStyle w:val="Nmerodepgina"/>
        <w:noProof/>
        <w:sz w:val="20"/>
      </w:rPr>
      <w:t>2</w:t>
    </w:r>
    <w:r>
      <w:rPr>
        <w:rStyle w:val="Nmerodepgina"/>
        <w:sz w:val="20"/>
      </w:rPr>
      <w:fldChar w:fldCharType="end"/>
    </w:r>
    <w:r>
      <w:rPr>
        <w:rStyle w:val="Nmerodepgina"/>
      </w:rPr>
      <w:tab/>
    </w:r>
    <w:r>
      <w:t>Butlletí del Consell General  –  </w:t>
    </w:r>
    <w:r>
      <w:rPr>
        <w:i/>
      </w:rPr>
      <w:t xml:space="preserve">núm. </w:t>
    </w:r>
    <w:r w:rsidR="002C794E">
      <w:rPr>
        <w:i/>
      </w:rPr>
      <w:t>66</w:t>
    </w:r>
    <w:r>
      <w:rPr>
        <w:i/>
      </w:rPr>
      <w:t>/201</w:t>
    </w:r>
    <w:r w:rsidR="00B27FA3">
      <w:rPr>
        <w:i/>
      </w:rPr>
      <w:t>5</w:t>
    </w:r>
    <w:r>
      <w:rPr>
        <w:i/>
      </w:rPr>
      <w:t>  </w:t>
    </w:r>
    <w:r>
      <w:t>–  </w:t>
    </w:r>
    <w:r>
      <w:rPr>
        <w:i/>
      </w:rPr>
      <w:t xml:space="preserve">Casa de la Vall, </w:t>
    </w:r>
    <w:r w:rsidR="002C794E">
      <w:rPr>
        <w:i/>
      </w:rPr>
      <w:t>24</w:t>
    </w:r>
    <w:r>
      <w:rPr>
        <w:i/>
      </w:rPr>
      <w:t xml:space="preserve"> de </w:t>
    </w:r>
    <w:r w:rsidR="002C794E">
      <w:rPr>
        <w:i/>
      </w:rPr>
      <w:t>desembre</w:t>
    </w:r>
    <w:r>
      <w:rPr>
        <w:i/>
      </w:rPr>
      <w:t xml:space="preserve"> del 201</w:t>
    </w:r>
    <w:r w:rsidR="00B27FA3">
      <w:rPr>
        <w:i/>
      </w:rPr>
      <w:t>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811" w:rsidRDefault="008B6811">
    <w:pPr>
      <w:pStyle w:val="Encabezado"/>
    </w:pPr>
    <w:r>
      <w:t>Butlletí del Consell General</w:t>
    </w:r>
    <w:r>
      <w:tab/>
      <w:t>Casa de la Vall, 10 de juny de 1994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811" w:rsidRDefault="008B6811">
    <w:pPr>
      <w:pStyle w:val="Encabezado"/>
      <w:tabs>
        <w:tab w:val="clear" w:pos="9696"/>
        <w:tab w:val="right" w:pos="9639"/>
      </w:tabs>
    </w:pPr>
    <w:r>
      <w:t>Butlletí del Consell General  –  </w:t>
    </w:r>
    <w:r>
      <w:rPr>
        <w:i/>
      </w:rPr>
      <w:t xml:space="preserve">núm. </w:t>
    </w:r>
    <w:r w:rsidR="002C794E">
      <w:rPr>
        <w:i/>
      </w:rPr>
      <w:t>66</w:t>
    </w:r>
    <w:r>
      <w:rPr>
        <w:i/>
      </w:rPr>
      <w:t>/201</w:t>
    </w:r>
    <w:r w:rsidR="00B27FA3">
      <w:rPr>
        <w:i/>
      </w:rPr>
      <w:t>5</w:t>
    </w:r>
    <w:r>
      <w:rPr>
        <w:i/>
      </w:rPr>
      <w:t>  </w:t>
    </w:r>
    <w:r>
      <w:t>–  </w:t>
    </w:r>
    <w:r>
      <w:rPr>
        <w:i/>
      </w:rPr>
      <w:t xml:space="preserve">Casa de la Vall, </w:t>
    </w:r>
    <w:r w:rsidR="002C794E">
      <w:rPr>
        <w:i/>
      </w:rPr>
      <w:t xml:space="preserve">24 </w:t>
    </w:r>
    <w:r>
      <w:rPr>
        <w:i/>
      </w:rPr>
      <w:t xml:space="preserve">de </w:t>
    </w:r>
    <w:r w:rsidR="002C794E">
      <w:rPr>
        <w:i/>
      </w:rPr>
      <w:t>desembre</w:t>
    </w:r>
    <w:r>
      <w:rPr>
        <w:i/>
      </w:rPr>
      <w:t xml:space="preserve"> del 201</w:t>
    </w:r>
    <w:r w:rsidR="00B27FA3">
      <w:rPr>
        <w:i/>
      </w:rPr>
      <w:t>5</w:t>
    </w:r>
    <w:r>
      <w:rPr>
        <w:i/>
      </w:rPr>
      <w:tab/>
    </w:r>
    <w:r>
      <w:rPr>
        <w:rStyle w:val="Nmerodepgina"/>
        <w:sz w:val="20"/>
      </w:rPr>
      <w:fldChar w:fldCharType="begin"/>
    </w:r>
    <w:r>
      <w:rPr>
        <w:rStyle w:val="Nmerodepgina"/>
        <w:sz w:val="20"/>
      </w:rPr>
      <w:instrText xml:space="preserve"> PAGE </w:instrText>
    </w:r>
    <w:r>
      <w:rPr>
        <w:rStyle w:val="Nmerodepgina"/>
        <w:sz w:val="20"/>
      </w:rPr>
      <w:fldChar w:fldCharType="separate"/>
    </w:r>
    <w:r w:rsidR="003745FF">
      <w:rPr>
        <w:rStyle w:val="Nmerodepgina"/>
        <w:noProof/>
        <w:sz w:val="20"/>
      </w:rPr>
      <w:t>9</w:t>
    </w:r>
    <w:r>
      <w:rPr>
        <w:rStyle w:val="Nmerodepgina"/>
        <w:sz w:val="20"/>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09D" w:rsidRPr="008A009D" w:rsidRDefault="008A009D" w:rsidP="008A009D">
    <w:pPr>
      <w:pStyle w:val="Encabezado"/>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94E"/>
    <w:rsid w:val="00021BF9"/>
    <w:rsid w:val="000339CB"/>
    <w:rsid w:val="00060CF5"/>
    <w:rsid w:val="000F0C42"/>
    <w:rsid w:val="001102C0"/>
    <w:rsid w:val="00251A11"/>
    <w:rsid w:val="00283ABC"/>
    <w:rsid w:val="0029458C"/>
    <w:rsid w:val="002C794E"/>
    <w:rsid w:val="003745FF"/>
    <w:rsid w:val="0038619B"/>
    <w:rsid w:val="00470C9D"/>
    <w:rsid w:val="00477D64"/>
    <w:rsid w:val="004A1BD8"/>
    <w:rsid w:val="004E7057"/>
    <w:rsid w:val="004F11DE"/>
    <w:rsid w:val="004F2491"/>
    <w:rsid w:val="0050609D"/>
    <w:rsid w:val="00543A8A"/>
    <w:rsid w:val="005A7ECB"/>
    <w:rsid w:val="005E7342"/>
    <w:rsid w:val="006452F3"/>
    <w:rsid w:val="00645B8E"/>
    <w:rsid w:val="0076126A"/>
    <w:rsid w:val="007662D0"/>
    <w:rsid w:val="008A009D"/>
    <w:rsid w:val="008B6811"/>
    <w:rsid w:val="008C126A"/>
    <w:rsid w:val="008C742B"/>
    <w:rsid w:val="00AA2FE4"/>
    <w:rsid w:val="00AB383B"/>
    <w:rsid w:val="00B27FA3"/>
    <w:rsid w:val="00B325D7"/>
    <w:rsid w:val="00B569C4"/>
    <w:rsid w:val="00DC1088"/>
    <w:rsid w:val="00EA72C0"/>
    <w:rsid w:val="00ED7F3B"/>
    <w:rsid w:val="00F1225F"/>
    <w:rsid w:val="00F65839"/>
    <w:rsid w:val="00FA7D6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right" w:pos="4536"/>
      </w:tabs>
      <w:spacing w:after="80" w:line="250" w:lineRule="exact"/>
      <w:jc w:val="both"/>
    </w:pPr>
    <w:rPr>
      <w:rFonts w:ascii="GoudyOlSt BT" w:hAnsi="GoudyOlSt BT"/>
      <w:sz w:val="21"/>
      <w:lang w:val="ca-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pBdr>
        <w:bottom w:val="single" w:sz="6" w:space="1" w:color="auto"/>
      </w:pBdr>
      <w:tabs>
        <w:tab w:val="right" w:pos="9696"/>
      </w:tabs>
      <w:spacing w:after="480"/>
    </w:pPr>
    <w:rPr>
      <w:sz w:val="18"/>
    </w:rPr>
  </w:style>
  <w:style w:type="paragraph" w:customStyle="1" w:styleId="Ttolpublicaci">
    <w:name w:val="Títol publicació"/>
    <w:basedOn w:val="Normal"/>
    <w:next w:val="Centrat"/>
    <w:pPr>
      <w:pBdr>
        <w:bottom w:val="single" w:sz="48" w:space="3" w:color="auto"/>
      </w:pBdr>
      <w:spacing w:before="240" w:line="600" w:lineRule="exact"/>
      <w:ind w:left="2722" w:right="2722"/>
      <w:jc w:val="center"/>
    </w:pPr>
    <w:rPr>
      <w:sz w:val="64"/>
    </w:rPr>
  </w:style>
  <w:style w:type="paragraph" w:customStyle="1" w:styleId="Centrat">
    <w:name w:val="Centrat"/>
    <w:basedOn w:val="Normal"/>
    <w:pPr>
      <w:spacing w:before="960" w:after="120" w:line="220" w:lineRule="exact"/>
      <w:jc w:val="center"/>
    </w:pPr>
    <w:rPr>
      <w:i/>
      <w:sz w:val="24"/>
    </w:rPr>
  </w:style>
  <w:style w:type="paragraph" w:customStyle="1" w:styleId="Sumari">
    <w:name w:val="Sumari"/>
    <w:basedOn w:val="Normal"/>
    <w:pPr>
      <w:pBdr>
        <w:bottom w:val="single" w:sz="6" w:space="4" w:color="auto"/>
      </w:pBdr>
      <w:spacing w:before="2160" w:after="480"/>
      <w:jc w:val="center"/>
    </w:pPr>
    <w:rPr>
      <w:sz w:val="28"/>
    </w:rPr>
  </w:style>
  <w:style w:type="paragraph" w:customStyle="1" w:styleId="Style1">
    <w:name w:val="Style1"/>
    <w:basedOn w:val="Normal"/>
    <w:next w:val="Style2"/>
    <w:pPr>
      <w:spacing w:line="300" w:lineRule="exact"/>
      <w:jc w:val="left"/>
    </w:pPr>
    <w:rPr>
      <w:b/>
      <w:sz w:val="24"/>
    </w:rPr>
  </w:style>
  <w:style w:type="paragraph" w:customStyle="1" w:styleId="Style2">
    <w:name w:val="Style2"/>
    <w:basedOn w:val="Normal"/>
    <w:next w:val="Style3"/>
    <w:pPr>
      <w:spacing w:after="0" w:line="300" w:lineRule="exact"/>
      <w:jc w:val="left"/>
    </w:pPr>
    <w:rPr>
      <w:b/>
      <w:sz w:val="24"/>
    </w:rPr>
  </w:style>
  <w:style w:type="paragraph" w:customStyle="1" w:styleId="Style3">
    <w:name w:val="Style3"/>
    <w:basedOn w:val="Normal"/>
    <w:pPr>
      <w:spacing w:after="120" w:line="300" w:lineRule="exact"/>
    </w:pPr>
  </w:style>
  <w:style w:type="paragraph" w:customStyle="1" w:styleId="Centrat2">
    <w:name w:val="Centrat 2"/>
    <w:basedOn w:val="Centrat"/>
    <w:next w:val="Sumari"/>
    <w:pPr>
      <w:pBdr>
        <w:top w:val="single" w:sz="6" w:space="6" w:color="auto"/>
      </w:pBdr>
      <w:spacing w:before="0"/>
      <w:ind w:left="3062" w:right="2948"/>
    </w:pPr>
    <w:rPr>
      <w:sz w:val="21"/>
    </w:rPr>
  </w:style>
  <w:style w:type="paragraph" w:customStyle="1" w:styleId="Sndic">
    <w:name w:val="Síndic"/>
    <w:basedOn w:val="Normal"/>
    <w:pPr>
      <w:jc w:val="left"/>
    </w:pPr>
    <w:rPr>
      <w:i/>
    </w:rPr>
  </w:style>
  <w:style w:type="paragraph" w:styleId="Piedepgina">
    <w:name w:val="footer"/>
    <w:basedOn w:val="Normal"/>
    <w:pPr>
      <w:tabs>
        <w:tab w:val="center" w:pos="4153"/>
        <w:tab w:val="right" w:pos="8306"/>
      </w:tabs>
    </w:pPr>
  </w:style>
  <w:style w:type="character" w:styleId="Nmerodepgina">
    <w:name w:val="page number"/>
    <w:rPr>
      <w:rFonts w:ascii="GoudyOlSt BT" w:hAnsi="GoudyOlSt BT"/>
      <w:sz w:val="24"/>
    </w:rPr>
  </w:style>
  <w:style w:type="paragraph" w:customStyle="1" w:styleId="normali">
    <w:name w:val="normali"/>
    <w:basedOn w:val="Normal"/>
    <w:next w:val="Normal"/>
    <w:rPr>
      <w:i/>
    </w:rPr>
  </w:style>
  <w:style w:type="paragraph" w:customStyle="1" w:styleId="titol1">
    <w:name w:val="titol1"/>
    <w:basedOn w:val="Normal"/>
    <w:next w:val="titol2"/>
    <w:pPr>
      <w:keepNext/>
      <w:pBdr>
        <w:bottom w:val="single" w:sz="24" w:space="1" w:color="auto"/>
      </w:pBdr>
      <w:spacing w:after="120" w:line="300" w:lineRule="exact"/>
      <w:jc w:val="left"/>
    </w:pPr>
    <w:rPr>
      <w:b/>
      <w:sz w:val="28"/>
    </w:rPr>
  </w:style>
  <w:style w:type="paragraph" w:customStyle="1" w:styleId="titol2">
    <w:name w:val="titol2"/>
    <w:basedOn w:val="Normal"/>
    <w:next w:val="titol3"/>
    <w:pPr>
      <w:keepNext/>
      <w:pBdr>
        <w:bottom w:val="single" w:sz="18" w:space="1" w:color="auto"/>
      </w:pBdr>
      <w:spacing w:after="240" w:line="300" w:lineRule="exact"/>
    </w:pPr>
    <w:rPr>
      <w:b/>
      <w:sz w:val="28"/>
    </w:rPr>
  </w:style>
  <w:style w:type="paragraph" w:customStyle="1" w:styleId="titol3">
    <w:name w:val="titol3"/>
    <w:basedOn w:val="Normal"/>
    <w:next w:val="Normal"/>
    <w:pPr>
      <w:keepNext/>
      <w:pBdr>
        <w:bottom w:val="single" w:sz="12" w:space="1" w:color="auto"/>
      </w:pBdr>
    </w:pPr>
    <w:rPr>
      <w:b/>
      <w:sz w:val="24"/>
    </w:rPr>
  </w:style>
  <w:style w:type="paragraph" w:customStyle="1" w:styleId="ratlla">
    <w:name w:val="ratlla"/>
    <w:basedOn w:val="Normal"/>
    <w:next w:val="Normal"/>
    <w:pPr>
      <w:pBdr>
        <w:top w:val="single" w:sz="24" w:space="1" w:color="auto"/>
      </w:pBdr>
      <w:spacing w:before="120" w:after="720"/>
    </w:pPr>
  </w:style>
  <w:style w:type="paragraph" w:customStyle="1" w:styleId="article">
    <w:name w:val="article"/>
    <w:basedOn w:val="Normal"/>
    <w:next w:val="Normal"/>
    <w:pPr>
      <w:keepNext/>
      <w:spacing w:before="160" w:after="60"/>
    </w:pPr>
    <w:rPr>
      <w:b/>
    </w:rPr>
  </w:style>
  <w:style w:type="paragraph" w:customStyle="1" w:styleId="esmenan">
    <w:name w:val="esmena_n"/>
    <w:basedOn w:val="Normal"/>
    <w:next w:val="normalCursiva"/>
    <w:pPr>
      <w:keepNext/>
      <w:pBdr>
        <w:bottom w:val="single" w:sz="6" w:space="2" w:color="auto"/>
      </w:pBdr>
      <w:tabs>
        <w:tab w:val="right" w:pos="4479"/>
      </w:tabs>
      <w:spacing w:before="240" w:after="0"/>
    </w:pPr>
    <w:rPr>
      <w:b/>
    </w:rPr>
  </w:style>
  <w:style w:type="paragraph" w:customStyle="1" w:styleId="nomllei">
    <w:name w:val="nom_llei"/>
    <w:basedOn w:val="Normal"/>
    <w:next w:val="Normal"/>
    <w:pPr>
      <w:keepNext/>
      <w:spacing w:before="480" w:after="200" w:line="300" w:lineRule="exact"/>
    </w:pPr>
    <w:rPr>
      <w:b/>
      <w:sz w:val="28"/>
    </w:rPr>
  </w:style>
  <w:style w:type="paragraph" w:customStyle="1" w:styleId="normalN">
    <w:name w:val="normal_N"/>
    <w:basedOn w:val="Normal"/>
    <w:next w:val="Normal"/>
    <w:pPr>
      <w:keepNext/>
      <w:spacing w:before="120" w:after="40"/>
    </w:pPr>
    <w:rPr>
      <w:b/>
    </w:rPr>
  </w:style>
  <w:style w:type="paragraph" w:customStyle="1" w:styleId="normalCursiva">
    <w:name w:val="normal_Cursiva"/>
    <w:basedOn w:val="Normal"/>
    <w:next w:val="Normal"/>
    <w:pPr>
      <w:keepNext/>
    </w:pPr>
    <w:rPr>
      <w:i/>
    </w:rPr>
  </w:style>
  <w:style w:type="paragraph" w:customStyle="1" w:styleId="0">
    <w:name w:val="0"/>
    <w:basedOn w:val="Normal"/>
    <w:pPr>
      <w:keepNext/>
      <w:widowControl w:val="0"/>
      <w:tabs>
        <w:tab w:val="right" w:pos="397"/>
        <w:tab w:val="left" w:pos="454"/>
      </w:tabs>
      <w:spacing w:before="120" w:after="0" w:line="260" w:lineRule="exact"/>
      <w:jc w:val="left"/>
    </w:pPr>
    <w:rPr>
      <w:b/>
      <w:sz w:val="22"/>
    </w:rPr>
  </w:style>
  <w:style w:type="paragraph" w:customStyle="1" w:styleId="esmenes">
    <w:name w:val="esmenes"/>
    <w:basedOn w:val="Normal"/>
    <w:next w:val="Normal"/>
    <w:qFormat/>
    <w:pPr>
      <w:spacing w:before="120" w:after="60"/>
    </w:pPr>
  </w:style>
  <w:style w:type="paragraph" w:customStyle="1" w:styleId="Disposici">
    <w:name w:val="Disposició"/>
    <w:basedOn w:val="article"/>
    <w:next w:val="Normal"/>
    <w:pPr>
      <w:spacing w:before="200" w:after="0" w:line="260" w:lineRule="exact"/>
    </w:pPr>
    <w:rPr>
      <w:sz w:val="24"/>
    </w:rPr>
  </w:style>
  <w:style w:type="paragraph" w:customStyle="1" w:styleId="Titresposta">
    <w:name w:val="Titresposta"/>
    <w:basedOn w:val="article"/>
    <w:pPr>
      <w:spacing w:before="480" w:after="240"/>
    </w:pPr>
    <w:rPr>
      <w:sz w:val="24"/>
    </w:rPr>
  </w:style>
  <w:style w:type="paragraph" w:customStyle="1" w:styleId="AlaSind">
    <w:name w:val="A la Sind"/>
    <w:basedOn w:val="normalN"/>
    <w:pPr>
      <w:spacing w:before="360"/>
    </w:pPr>
    <w:rPr>
      <w:sz w:val="24"/>
    </w:rPr>
  </w:style>
  <w:style w:type="paragraph" w:customStyle="1" w:styleId="SeparaEsmena">
    <w:name w:val="SeparaEsmena"/>
    <w:basedOn w:val="Normal"/>
    <w:next w:val="Normal"/>
    <w:pPr>
      <w:pBdr>
        <w:bottom w:val="single" w:sz="2" w:space="1" w:color="C0C0C0"/>
      </w:pBdr>
      <w:spacing w:before="240" w:after="0" w:line="240" w:lineRule="atLeast"/>
    </w:pPr>
  </w:style>
  <w:style w:type="paragraph" w:customStyle="1" w:styleId="Ttols">
    <w:name w:val="Títols"/>
    <w:basedOn w:val="Disposici"/>
    <w:next w:val="Normal"/>
    <w:pPr>
      <w:spacing w:before="260" w:line="300" w:lineRule="exact"/>
    </w:pPr>
    <w:rPr>
      <w:i/>
    </w:rPr>
  </w:style>
  <w:style w:type="paragraph" w:customStyle="1" w:styleId="RatllaFina">
    <w:name w:val="RatllaFina"/>
    <w:basedOn w:val="Normal"/>
    <w:next w:val="Normal"/>
    <w:pPr>
      <w:pBdr>
        <w:top w:val="single" w:sz="4" w:space="1" w:color="auto"/>
      </w:pBdr>
      <w:spacing w:before="120" w:after="120"/>
    </w:pPr>
  </w:style>
  <w:style w:type="paragraph" w:customStyle="1" w:styleId="Expo">
    <w:name w:val="Expo"/>
    <w:basedOn w:val="Normal"/>
    <w:next w:val="Normal"/>
    <w:pPr>
      <w:keepNext/>
      <w:spacing w:before="60" w:after="120"/>
    </w:pPr>
    <w:rPr>
      <w:b/>
      <w:sz w:val="22"/>
    </w:rPr>
  </w:style>
  <w:style w:type="paragraph" w:customStyle="1" w:styleId="Informe">
    <w:name w:val="Informe"/>
    <w:basedOn w:val="Normal"/>
    <w:pPr>
      <w:spacing w:before="240" w:line="300" w:lineRule="exact"/>
    </w:pPr>
    <w:rPr>
      <w:b/>
      <w:sz w:val="28"/>
    </w:rPr>
  </w:style>
  <w:style w:type="paragraph" w:customStyle="1" w:styleId="Pregunta">
    <w:name w:val="Pregunta"/>
    <w:basedOn w:val="normalN"/>
    <w:pPr>
      <w:spacing w:after="120"/>
    </w:pPr>
  </w:style>
  <w:style w:type="paragraph" w:customStyle="1" w:styleId="esmena">
    <w:name w:val="esmena"/>
    <w:basedOn w:val="Normal"/>
    <w:next w:val="Normal"/>
    <w:pPr>
      <w:spacing w:after="40"/>
    </w:pPr>
  </w:style>
  <w:style w:type="paragraph" w:customStyle="1" w:styleId="normal1">
    <w:name w:val="normal1"/>
    <w:basedOn w:val="Normal"/>
    <w:pPr>
      <w:ind w:left="284"/>
    </w:pPr>
  </w:style>
  <w:style w:type="paragraph" w:customStyle="1" w:styleId="ndex">
    <w:name w:val="Índex"/>
    <w:basedOn w:val="Normal"/>
    <w:pPr>
      <w:keepNext/>
      <w:spacing w:before="240" w:after="60"/>
    </w:pPr>
    <w:rPr>
      <w:b/>
      <w:sz w:val="24"/>
    </w:rPr>
  </w:style>
  <w:style w:type="paragraph" w:customStyle="1" w:styleId="00">
    <w:name w:val="00"/>
    <w:basedOn w:val="Normal"/>
    <w:pPr>
      <w:keepNext/>
      <w:widowControl w:val="0"/>
      <w:tabs>
        <w:tab w:val="right" w:pos="397"/>
        <w:tab w:val="left" w:pos="454"/>
      </w:tabs>
      <w:spacing w:before="60" w:after="0" w:line="260" w:lineRule="exact"/>
      <w:jc w:val="left"/>
    </w:pPr>
    <w:rPr>
      <w:b/>
      <w:sz w:val="20"/>
    </w:rPr>
  </w:style>
  <w:style w:type="paragraph" w:customStyle="1" w:styleId="Disposici2">
    <w:name w:val="Disposició2"/>
    <w:basedOn w:val="Disposici"/>
    <w:pPr>
      <w:spacing w:before="160"/>
    </w:pPr>
    <w:rPr>
      <w:sz w:val="22"/>
    </w:rPr>
  </w:style>
  <w:style w:type="paragraph" w:customStyle="1" w:styleId="secci">
    <w:name w:val="secció"/>
    <w:basedOn w:val="Normal"/>
    <w:pPr>
      <w:keepNext/>
      <w:spacing w:before="160" w:after="0"/>
    </w:pPr>
    <w:rPr>
      <w:b/>
      <w:sz w:val="22"/>
    </w:rPr>
  </w:style>
  <w:style w:type="paragraph" w:customStyle="1" w:styleId="PE">
    <w:name w:val="PE"/>
    <w:basedOn w:val="Normal"/>
    <w:next w:val="Normal"/>
  </w:style>
  <w:style w:type="paragraph" w:customStyle="1" w:styleId="PARAGRAFENDINSAT">
    <w:name w:val="PARAGRAF ENDINSAT"/>
    <w:basedOn w:val="Normal"/>
    <w:pPr>
      <w:tabs>
        <w:tab w:val="clear" w:pos="4536"/>
      </w:tabs>
    </w:pPr>
  </w:style>
  <w:style w:type="paragraph" w:customStyle="1" w:styleId="Disposa">
    <w:name w:val="Disposa"/>
    <w:basedOn w:val="Normal"/>
    <w:next w:val="Normal"/>
    <w:pPr>
      <w:spacing w:before="120"/>
    </w:pPr>
  </w:style>
  <w:style w:type="paragraph" w:customStyle="1" w:styleId="000">
    <w:name w:val="000"/>
    <w:basedOn w:val="Normal"/>
    <w:pPr>
      <w:widowControl w:val="0"/>
      <w:tabs>
        <w:tab w:val="right" w:pos="397"/>
        <w:tab w:val="left" w:pos="454"/>
      </w:tabs>
      <w:spacing w:before="40" w:after="0" w:line="260" w:lineRule="exact"/>
      <w:jc w:val="left"/>
    </w:pPr>
    <w:rPr>
      <w:b/>
      <w:sz w:val="20"/>
    </w:rPr>
  </w:style>
  <w:style w:type="paragraph" w:customStyle="1" w:styleId="0000">
    <w:name w:val="0000"/>
    <w:basedOn w:val="Normal"/>
    <w:pPr>
      <w:widowControl w:val="0"/>
      <w:tabs>
        <w:tab w:val="right" w:pos="397"/>
        <w:tab w:val="left" w:pos="454"/>
      </w:tabs>
      <w:spacing w:after="20" w:line="260" w:lineRule="exact"/>
      <w:jc w:val="left"/>
    </w:pPr>
    <w:rPr>
      <w:sz w:val="20"/>
    </w:rPr>
  </w:style>
  <w:style w:type="paragraph" w:customStyle="1" w:styleId="0t">
    <w:name w:val="0t"/>
    <w:basedOn w:val="0"/>
    <w:pPr>
      <w:keepNext w:val="0"/>
    </w:pPr>
    <w:rPr>
      <w:sz w:val="24"/>
    </w:rPr>
  </w:style>
  <w:style w:type="paragraph" w:customStyle="1" w:styleId="Classificaci">
    <w:name w:val="Classificació"/>
    <w:basedOn w:val="Normal"/>
    <w:next w:val="Normal"/>
    <w:pPr>
      <w:spacing w:after="0"/>
    </w:pPr>
    <w:rPr>
      <w:b/>
      <w:sz w:val="24"/>
    </w:rPr>
  </w:style>
  <w:style w:type="paragraph" w:customStyle="1" w:styleId="0tt">
    <w:name w:val="0tt"/>
    <w:basedOn w:val="Normal"/>
    <w:next w:val="Normal"/>
    <w:pPr>
      <w:keepNext/>
      <w:spacing w:before="240" w:after="0" w:line="300" w:lineRule="exact"/>
    </w:pPr>
    <w:rPr>
      <w:b/>
      <w:sz w:val="26"/>
    </w:rPr>
  </w:style>
  <w:style w:type="paragraph" w:customStyle="1" w:styleId="0t0">
    <w:name w:val="0t0"/>
    <w:basedOn w:val="0"/>
    <w:next w:val="Normal"/>
    <w:pPr>
      <w:keepNext w:val="0"/>
      <w:spacing w:before="0" w:after="120"/>
    </w:pPr>
    <w:rPr>
      <w:sz w:val="20"/>
    </w:rPr>
  </w:style>
  <w:style w:type="paragraph" w:customStyle="1" w:styleId="0ttt">
    <w:name w:val="0ttt"/>
    <w:basedOn w:val="nomllei"/>
    <w:next w:val="Normal"/>
    <w:rPr>
      <w:sz w:val="30"/>
    </w:rPr>
  </w:style>
  <w:style w:type="paragraph" w:customStyle="1" w:styleId="butlletnm">
    <w:name w:val="butlletí núm."/>
    <w:basedOn w:val="Normal"/>
    <w:next w:val="normalind"/>
    <w:pPr>
      <w:spacing w:after="240" w:line="260" w:lineRule="exact"/>
      <w:jc w:val="right"/>
    </w:pPr>
    <w:rPr>
      <w:i/>
      <w:sz w:val="20"/>
    </w:rPr>
  </w:style>
  <w:style w:type="paragraph" w:customStyle="1" w:styleId="Butllet">
    <w:name w:val="Butlletí"/>
    <w:basedOn w:val="Normal"/>
    <w:next w:val="Normal"/>
    <w:pPr>
      <w:keepNext/>
      <w:pBdr>
        <w:bottom w:val="single" w:sz="2" w:space="1" w:color="auto"/>
      </w:pBdr>
      <w:spacing w:before="180" w:after="0" w:line="260" w:lineRule="exact"/>
    </w:pPr>
    <w:rPr>
      <w:b/>
      <w:sz w:val="22"/>
    </w:rPr>
  </w:style>
  <w:style w:type="paragraph" w:customStyle="1" w:styleId="normalind">
    <w:name w:val="normalind"/>
    <w:basedOn w:val="Normal"/>
    <w:next w:val="butlletnm"/>
    <w:pPr>
      <w:keepNext/>
      <w:spacing w:after="0"/>
    </w:pPr>
  </w:style>
  <w:style w:type="paragraph" w:customStyle="1" w:styleId="NormalSubrallat">
    <w:name w:val="Normal Subrallat"/>
    <w:basedOn w:val="Normal"/>
    <w:next w:val="Normal"/>
    <w:pPr>
      <w:keepNext/>
    </w:pPr>
    <w:rPr>
      <w:u w:val="single"/>
    </w:rPr>
  </w:style>
  <w:style w:type="paragraph" w:customStyle="1" w:styleId="Captol">
    <w:name w:val="Capítol"/>
    <w:basedOn w:val="Normal"/>
    <w:next w:val="Normal"/>
    <w:pPr>
      <w:keepNext/>
      <w:spacing w:before="200" w:after="0" w:line="280" w:lineRule="exact"/>
    </w:pPr>
    <w:rPr>
      <w:b/>
      <w:sz w:val="24"/>
    </w:rPr>
  </w:style>
  <w:style w:type="paragraph" w:customStyle="1" w:styleId="Normal0">
    <w:name w:val="Normal+"/>
    <w:basedOn w:val="Normal"/>
    <w:next w:val="Normal"/>
    <w:pPr>
      <w:spacing w:before="120"/>
    </w:pPr>
  </w:style>
  <w:style w:type="paragraph" w:customStyle="1" w:styleId="Normal2">
    <w:name w:val="Normal++"/>
    <w:basedOn w:val="Normal0"/>
    <w:pPr>
      <w:spacing w:before="0" w:after="160"/>
    </w:pPr>
  </w:style>
  <w:style w:type="paragraph" w:customStyle="1" w:styleId="llista">
    <w:name w:val="llista"/>
    <w:basedOn w:val="Normal"/>
    <w:pPr>
      <w:spacing w:after="0"/>
    </w:pPr>
  </w:style>
  <w:style w:type="paragraph" w:customStyle="1" w:styleId="article2">
    <w:name w:val="article2"/>
    <w:basedOn w:val="article"/>
    <w:pPr>
      <w:spacing w:before="60"/>
    </w:pPr>
    <w:rPr>
      <w:sz w:val="20"/>
    </w:rPr>
  </w:style>
  <w:style w:type="paragraph" w:customStyle="1" w:styleId="Normal20">
    <w:name w:val="Normal2"/>
    <w:basedOn w:val="Normal"/>
    <w:pPr>
      <w:keepNext/>
      <w:spacing w:before="240" w:after="120"/>
    </w:pPr>
    <w:rPr>
      <w:caps/>
      <w:u w:val="single"/>
    </w:rPr>
  </w:style>
  <w:style w:type="paragraph" w:customStyle="1" w:styleId="0titol">
    <w:name w:val="0titol"/>
    <w:basedOn w:val="Normal"/>
    <w:autoRedefine/>
    <w:pPr>
      <w:spacing w:before="600" w:after="0" w:line="300" w:lineRule="exact"/>
    </w:pPr>
    <w:rPr>
      <w:b/>
      <w:caps/>
      <w:snapToGrid w:val="0"/>
      <w:sz w:val="30"/>
    </w:rPr>
  </w:style>
  <w:style w:type="paragraph" w:customStyle="1" w:styleId="Definicio">
    <w:name w:val="Definicio"/>
    <w:basedOn w:val="Normal"/>
    <w:next w:val="Normal"/>
    <w:rPr>
      <w:b/>
      <w:i/>
      <w:sz w:val="19"/>
    </w:rPr>
  </w:style>
  <w:style w:type="paragraph" w:customStyle="1" w:styleId="Normals">
    <w:name w:val="Normal+s"/>
    <w:basedOn w:val="Normal0"/>
    <w:next w:val="Normal"/>
    <w:pPr>
      <w:keepNext/>
    </w:pPr>
  </w:style>
  <w:style w:type="paragraph" w:customStyle="1" w:styleId="arti">
    <w:name w:val="arti"/>
    <w:basedOn w:val="article"/>
    <w:next w:val="Normal"/>
    <w:autoRedefine/>
    <w:pPr>
      <w:spacing w:before="0"/>
    </w:pPr>
  </w:style>
  <w:style w:type="paragraph" w:customStyle="1" w:styleId="Capitol1">
    <w:name w:val="Capitol 1"/>
    <w:basedOn w:val="Captol"/>
    <w:next w:val="Normal"/>
    <w:pPr>
      <w:spacing w:before="0"/>
    </w:pPr>
  </w:style>
  <w:style w:type="paragraph" w:customStyle="1" w:styleId="Arti2">
    <w:name w:val="Arti2"/>
    <w:basedOn w:val="article"/>
    <w:next w:val="Normal"/>
    <w:pPr>
      <w:spacing w:before="0"/>
    </w:pPr>
    <w:rPr>
      <w:i/>
      <w:iCs/>
    </w:rPr>
  </w:style>
  <w:style w:type="paragraph" w:customStyle="1" w:styleId="Arti1">
    <w:name w:val="Arti1"/>
    <w:basedOn w:val="article"/>
    <w:next w:val="Arti2"/>
    <w:pPr>
      <w:spacing w:after="0"/>
    </w:pPr>
  </w:style>
  <w:style w:type="paragraph" w:customStyle="1" w:styleId="Normalb">
    <w:name w:val="Normal b"/>
    <w:basedOn w:val="Normal"/>
    <w:pPr>
      <w:ind w:left="142"/>
    </w:pPr>
  </w:style>
  <w:style w:type="paragraph" w:customStyle="1" w:styleId="Articleb">
    <w:name w:val="Article b"/>
    <w:basedOn w:val="article"/>
    <w:next w:val="Normalb"/>
    <w:pPr>
      <w:ind w:left="142"/>
    </w:pPr>
  </w:style>
  <w:style w:type="paragraph" w:customStyle="1" w:styleId="articl">
    <w:name w:val="articl"/>
    <w:basedOn w:val="Normal"/>
    <w:next w:val="Normal"/>
    <w:pPr>
      <w:spacing w:before="160" w:after="60" w:line="240" w:lineRule="exact"/>
    </w:pPr>
    <w:rPr>
      <w:b/>
      <w:szCs w:val="21"/>
    </w:rPr>
  </w:style>
  <w:style w:type="paragraph" w:customStyle="1" w:styleId="NormalT">
    <w:name w:val="NormalT"/>
    <w:basedOn w:val="Normal"/>
    <w:pPr>
      <w:spacing w:after="0" w:line="240" w:lineRule="atLeast"/>
    </w:pPr>
    <w:rPr>
      <w:bCs/>
      <w:sz w:val="16"/>
    </w:rPr>
  </w:style>
  <w:style w:type="paragraph" w:customStyle="1" w:styleId="Reserves">
    <w:name w:val="Reserves"/>
    <w:basedOn w:val="Normal"/>
    <w:next w:val="Normal"/>
    <w:rsid w:val="004F2491"/>
    <w:pPr>
      <w:pBdr>
        <w:bottom w:val="single" w:sz="12" w:space="1" w:color="auto"/>
      </w:pBdr>
      <w:spacing w:before="600" w:after="240"/>
    </w:pPr>
    <w:rPr>
      <w:b/>
      <w:sz w:val="28"/>
      <w:szCs w:val="28"/>
    </w:rPr>
  </w:style>
  <w:style w:type="paragraph" w:customStyle="1" w:styleId="Default">
    <w:name w:val="Default"/>
    <w:rsid w:val="002C794E"/>
    <w:pPr>
      <w:autoSpaceDE w:val="0"/>
      <w:autoSpaceDN w:val="0"/>
      <w:adjustRightInd w:val="0"/>
    </w:pPr>
    <w:rPr>
      <w:rFonts w:ascii="GoudyOlSt BT" w:eastAsia="Calibri" w:hAnsi="GoudyOlSt BT" w:cs="GoudyOlSt BT"/>
      <w:color w:val="000000"/>
      <w:sz w:val="24"/>
      <w:szCs w:val="24"/>
      <w:lang w:val="ca-ES" w:eastAsia="en-US"/>
    </w:rPr>
  </w:style>
  <w:style w:type="paragraph" w:styleId="Textodeglobo">
    <w:name w:val="Balloon Text"/>
    <w:basedOn w:val="Normal"/>
    <w:link w:val="TextodegloboCar"/>
    <w:rsid w:val="008C126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rsid w:val="008C126A"/>
    <w:rPr>
      <w:rFonts w:ascii="Tahoma" w:hAnsi="Tahoma" w:cs="Tahoma"/>
      <w:sz w:val="16"/>
      <w:szCs w:val="16"/>
      <w:lang w:val="ca-ES"/>
    </w:rPr>
  </w:style>
  <w:style w:type="paragraph" w:customStyle="1" w:styleId="DATA">
    <w:name w:val="DATA"/>
    <w:basedOn w:val="Normal"/>
    <w:next w:val="Normal"/>
    <w:autoRedefine/>
    <w:rsid w:val="008C742B"/>
    <w:pPr>
      <w:widowControl w:val="0"/>
      <w:tabs>
        <w:tab w:val="clear" w:pos="4536"/>
      </w:tabs>
      <w:spacing w:before="480" w:after="240" w:line="240" w:lineRule="auto"/>
      <w:jc w:val="right"/>
    </w:pPr>
    <w:rPr>
      <w:rFonts w:ascii="Garamond" w:hAnsi="Garamond"/>
      <w:sz w:val="28"/>
      <w:szCs w:val="28"/>
    </w:rPr>
  </w:style>
  <w:style w:type="paragraph" w:customStyle="1" w:styleId="DISPOSA0">
    <w:name w:val="DISPOSA"/>
    <w:basedOn w:val="Normal"/>
    <w:rsid w:val="008C742B"/>
    <w:pPr>
      <w:widowControl w:val="0"/>
      <w:tabs>
        <w:tab w:val="clear" w:pos="4536"/>
      </w:tabs>
      <w:spacing w:before="480" w:after="480" w:line="240" w:lineRule="auto"/>
      <w:jc w:val="center"/>
    </w:pPr>
    <w:rPr>
      <w:rFonts w:ascii="Garamond" w:hAnsi="Garamond"/>
      <w:caps/>
      <w:spacing w:val="120"/>
      <w:sz w:val="28"/>
    </w:rPr>
  </w:style>
  <w:style w:type="paragraph" w:customStyle="1" w:styleId="Normal10">
    <w:name w:val="Normal1"/>
    <w:basedOn w:val="Normal"/>
    <w:autoRedefine/>
    <w:rsid w:val="008C742B"/>
    <w:pPr>
      <w:widowControl w:val="0"/>
      <w:tabs>
        <w:tab w:val="clear" w:pos="4536"/>
      </w:tabs>
      <w:spacing w:after="240" w:line="360" w:lineRule="exact"/>
    </w:pPr>
    <w:rPr>
      <w:rFonts w:ascii="Garamond" w:hAnsi="Garamond"/>
      <w:sz w:val="28"/>
    </w:rPr>
  </w:style>
  <w:style w:type="paragraph" w:customStyle="1" w:styleId="SIGNATURADECARTES">
    <w:name w:val="SIGNATURA DE CARTES"/>
    <w:autoRedefine/>
    <w:rsid w:val="008C742B"/>
    <w:pPr>
      <w:widowControl w:val="0"/>
      <w:spacing w:before="1800"/>
      <w:ind w:left="4536"/>
      <w:jc w:val="center"/>
    </w:pPr>
    <w:rPr>
      <w:rFonts w:ascii="Garamond" w:hAnsi="Garamond" w:cs="Courier New"/>
      <w:sz w:val="28"/>
      <w:lang w:val="ca-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right" w:pos="4536"/>
      </w:tabs>
      <w:spacing w:after="80" w:line="250" w:lineRule="exact"/>
      <w:jc w:val="both"/>
    </w:pPr>
    <w:rPr>
      <w:rFonts w:ascii="GoudyOlSt BT" w:hAnsi="GoudyOlSt BT"/>
      <w:sz w:val="21"/>
      <w:lang w:val="ca-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pBdr>
        <w:bottom w:val="single" w:sz="6" w:space="1" w:color="auto"/>
      </w:pBdr>
      <w:tabs>
        <w:tab w:val="right" w:pos="9696"/>
      </w:tabs>
      <w:spacing w:after="480"/>
    </w:pPr>
    <w:rPr>
      <w:sz w:val="18"/>
    </w:rPr>
  </w:style>
  <w:style w:type="paragraph" w:customStyle="1" w:styleId="Ttolpublicaci">
    <w:name w:val="Títol publicació"/>
    <w:basedOn w:val="Normal"/>
    <w:next w:val="Centrat"/>
    <w:pPr>
      <w:pBdr>
        <w:bottom w:val="single" w:sz="48" w:space="3" w:color="auto"/>
      </w:pBdr>
      <w:spacing w:before="240" w:line="600" w:lineRule="exact"/>
      <w:ind w:left="2722" w:right="2722"/>
      <w:jc w:val="center"/>
    </w:pPr>
    <w:rPr>
      <w:sz w:val="64"/>
    </w:rPr>
  </w:style>
  <w:style w:type="paragraph" w:customStyle="1" w:styleId="Centrat">
    <w:name w:val="Centrat"/>
    <w:basedOn w:val="Normal"/>
    <w:pPr>
      <w:spacing w:before="960" w:after="120" w:line="220" w:lineRule="exact"/>
      <w:jc w:val="center"/>
    </w:pPr>
    <w:rPr>
      <w:i/>
      <w:sz w:val="24"/>
    </w:rPr>
  </w:style>
  <w:style w:type="paragraph" w:customStyle="1" w:styleId="Sumari">
    <w:name w:val="Sumari"/>
    <w:basedOn w:val="Normal"/>
    <w:pPr>
      <w:pBdr>
        <w:bottom w:val="single" w:sz="6" w:space="4" w:color="auto"/>
      </w:pBdr>
      <w:spacing w:before="2160" w:after="480"/>
      <w:jc w:val="center"/>
    </w:pPr>
    <w:rPr>
      <w:sz w:val="28"/>
    </w:rPr>
  </w:style>
  <w:style w:type="paragraph" w:customStyle="1" w:styleId="Style1">
    <w:name w:val="Style1"/>
    <w:basedOn w:val="Normal"/>
    <w:next w:val="Style2"/>
    <w:pPr>
      <w:spacing w:line="300" w:lineRule="exact"/>
      <w:jc w:val="left"/>
    </w:pPr>
    <w:rPr>
      <w:b/>
      <w:sz w:val="24"/>
    </w:rPr>
  </w:style>
  <w:style w:type="paragraph" w:customStyle="1" w:styleId="Style2">
    <w:name w:val="Style2"/>
    <w:basedOn w:val="Normal"/>
    <w:next w:val="Style3"/>
    <w:pPr>
      <w:spacing w:after="0" w:line="300" w:lineRule="exact"/>
      <w:jc w:val="left"/>
    </w:pPr>
    <w:rPr>
      <w:b/>
      <w:sz w:val="24"/>
    </w:rPr>
  </w:style>
  <w:style w:type="paragraph" w:customStyle="1" w:styleId="Style3">
    <w:name w:val="Style3"/>
    <w:basedOn w:val="Normal"/>
    <w:pPr>
      <w:spacing w:after="120" w:line="300" w:lineRule="exact"/>
    </w:pPr>
  </w:style>
  <w:style w:type="paragraph" w:customStyle="1" w:styleId="Centrat2">
    <w:name w:val="Centrat 2"/>
    <w:basedOn w:val="Centrat"/>
    <w:next w:val="Sumari"/>
    <w:pPr>
      <w:pBdr>
        <w:top w:val="single" w:sz="6" w:space="6" w:color="auto"/>
      </w:pBdr>
      <w:spacing w:before="0"/>
      <w:ind w:left="3062" w:right="2948"/>
    </w:pPr>
    <w:rPr>
      <w:sz w:val="21"/>
    </w:rPr>
  </w:style>
  <w:style w:type="paragraph" w:customStyle="1" w:styleId="Sndic">
    <w:name w:val="Síndic"/>
    <w:basedOn w:val="Normal"/>
    <w:pPr>
      <w:jc w:val="left"/>
    </w:pPr>
    <w:rPr>
      <w:i/>
    </w:rPr>
  </w:style>
  <w:style w:type="paragraph" w:styleId="Piedepgina">
    <w:name w:val="footer"/>
    <w:basedOn w:val="Normal"/>
    <w:pPr>
      <w:tabs>
        <w:tab w:val="center" w:pos="4153"/>
        <w:tab w:val="right" w:pos="8306"/>
      </w:tabs>
    </w:pPr>
  </w:style>
  <w:style w:type="character" w:styleId="Nmerodepgina">
    <w:name w:val="page number"/>
    <w:rPr>
      <w:rFonts w:ascii="GoudyOlSt BT" w:hAnsi="GoudyOlSt BT"/>
      <w:sz w:val="24"/>
    </w:rPr>
  </w:style>
  <w:style w:type="paragraph" w:customStyle="1" w:styleId="normali">
    <w:name w:val="normali"/>
    <w:basedOn w:val="Normal"/>
    <w:next w:val="Normal"/>
    <w:rPr>
      <w:i/>
    </w:rPr>
  </w:style>
  <w:style w:type="paragraph" w:customStyle="1" w:styleId="titol1">
    <w:name w:val="titol1"/>
    <w:basedOn w:val="Normal"/>
    <w:next w:val="titol2"/>
    <w:pPr>
      <w:keepNext/>
      <w:pBdr>
        <w:bottom w:val="single" w:sz="24" w:space="1" w:color="auto"/>
      </w:pBdr>
      <w:spacing w:after="120" w:line="300" w:lineRule="exact"/>
      <w:jc w:val="left"/>
    </w:pPr>
    <w:rPr>
      <w:b/>
      <w:sz w:val="28"/>
    </w:rPr>
  </w:style>
  <w:style w:type="paragraph" w:customStyle="1" w:styleId="titol2">
    <w:name w:val="titol2"/>
    <w:basedOn w:val="Normal"/>
    <w:next w:val="titol3"/>
    <w:pPr>
      <w:keepNext/>
      <w:pBdr>
        <w:bottom w:val="single" w:sz="18" w:space="1" w:color="auto"/>
      </w:pBdr>
      <w:spacing w:after="240" w:line="300" w:lineRule="exact"/>
    </w:pPr>
    <w:rPr>
      <w:b/>
      <w:sz w:val="28"/>
    </w:rPr>
  </w:style>
  <w:style w:type="paragraph" w:customStyle="1" w:styleId="titol3">
    <w:name w:val="titol3"/>
    <w:basedOn w:val="Normal"/>
    <w:next w:val="Normal"/>
    <w:pPr>
      <w:keepNext/>
      <w:pBdr>
        <w:bottom w:val="single" w:sz="12" w:space="1" w:color="auto"/>
      </w:pBdr>
    </w:pPr>
    <w:rPr>
      <w:b/>
      <w:sz w:val="24"/>
    </w:rPr>
  </w:style>
  <w:style w:type="paragraph" w:customStyle="1" w:styleId="ratlla">
    <w:name w:val="ratlla"/>
    <w:basedOn w:val="Normal"/>
    <w:next w:val="Normal"/>
    <w:pPr>
      <w:pBdr>
        <w:top w:val="single" w:sz="24" w:space="1" w:color="auto"/>
      </w:pBdr>
      <w:spacing w:before="120" w:after="720"/>
    </w:pPr>
  </w:style>
  <w:style w:type="paragraph" w:customStyle="1" w:styleId="article">
    <w:name w:val="article"/>
    <w:basedOn w:val="Normal"/>
    <w:next w:val="Normal"/>
    <w:pPr>
      <w:keepNext/>
      <w:spacing w:before="160" w:after="60"/>
    </w:pPr>
    <w:rPr>
      <w:b/>
    </w:rPr>
  </w:style>
  <w:style w:type="paragraph" w:customStyle="1" w:styleId="esmenan">
    <w:name w:val="esmena_n"/>
    <w:basedOn w:val="Normal"/>
    <w:next w:val="normalCursiva"/>
    <w:pPr>
      <w:keepNext/>
      <w:pBdr>
        <w:bottom w:val="single" w:sz="6" w:space="2" w:color="auto"/>
      </w:pBdr>
      <w:tabs>
        <w:tab w:val="right" w:pos="4479"/>
      </w:tabs>
      <w:spacing w:before="240" w:after="0"/>
    </w:pPr>
    <w:rPr>
      <w:b/>
    </w:rPr>
  </w:style>
  <w:style w:type="paragraph" w:customStyle="1" w:styleId="nomllei">
    <w:name w:val="nom_llei"/>
    <w:basedOn w:val="Normal"/>
    <w:next w:val="Normal"/>
    <w:pPr>
      <w:keepNext/>
      <w:spacing w:before="480" w:after="200" w:line="300" w:lineRule="exact"/>
    </w:pPr>
    <w:rPr>
      <w:b/>
      <w:sz w:val="28"/>
    </w:rPr>
  </w:style>
  <w:style w:type="paragraph" w:customStyle="1" w:styleId="normalN">
    <w:name w:val="normal_N"/>
    <w:basedOn w:val="Normal"/>
    <w:next w:val="Normal"/>
    <w:pPr>
      <w:keepNext/>
      <w:spacing w:before="120" w:after="40"/>
    </w:pPr>
    <w:rPr>
      <w:b/>
    </w:rPr>
  </w:style>
  <w:style w:type="paragraph" w:customStyle="1" w:styleId="normalCursiva">
    <w:name w:val="normal_Cursiva"/>
    <w:basedOn w:val="Normal"/>
    <w:next w:val="Normal"/>
    <w:pPr>
      <w:keepNext/>
    </w:pPr>
    <w:rPr>
      <w:i/>
    </w:rPr>
  </w:style>
  <w:style w:type="paragraph" w:customStyle="1" w:styleId="0">
    <w:name w:val="0"/>
    <w:basedOn w:val="Normal"/>
    <w:pPr>
      <w:keepNext/>
      <w:widowControl w:val="0"/>
      <w:tabs>
        <w:tab w:val="right" w:pos="397"/>
        <w:tab w:val="left" w:pos="454"/>
      </w:tabs>
      <w:spacing w:before="120" w:after="0" w:line="260" w:lineRule="exact"/>
      <w:jc w:val="left"/>
    </w:pPr>
    <w:rPr>
      <w:b/>
      <w:sz w:val="22"/>
    </w:rPr>
  </w:style>
  <w:style w:type="paragraph" w:customStyle="1" w:styleId="esmenes">
    <w:name w:val="esmenes"/>
    <w:basedOn w:val="Normal"/>
    <w:next w:val="Normal"/>
    <w:qFormat/>
    <w:pPr>
      <w:spacing w:before="120" w:after="60"/>
    </w:pPr>
  </w:style>
  <w:style w:type="paragraph" w:customStyle="1" w:styleId="Disposici">
    <w:name w:val="Disposició"/>
    <w:basedOn w:val="article"/>
    <w:next w:val="Normal"/>
    <w:pPr>
      <w:spacing w:before="200" w:after="0" w:line="260" w:lineRule="exact"/>
    </w:pPr>
    <w:rPr>
      <w:sz w:val="24"/>
    </w:rPr>
  </w:style>
  <w:style w:type="paragraph" w:customStyle="1" w:styleId="Titresposta">
    <w:name w:val="Titresposta"/>
    <w:basedOn w:val="article"/>
    <w:pPr>
      <w:spacing w:before="480" w:after="240"/>
    </w:pPr>
    <w:rPr>
      <w:sz w:val="24"/>
    </w:rPr>
  </w:style>
  <w:style w:type="paragraph" w:customStyle="1" w:styleId="AlaSind">
    <w:name w:val="A la Sind"/>
    <w:basedOn w:val="normalN"/>
    <w:pPr>
      <w:spacing w:before="360"/>
    </w:pPr>
    <w:rPr>
      <w:sz w:val="24"/>
    </w:rPr>
  </w:style>
  <w:style w:type="paragraph" w:customStyle="1" w:styleId="SeparaEsmena">
    <w:name w:val="SeparaEsmena"/>
    <w:basedOn w:val="Normal"/>
    <w:next w:val="Normal"/>
    <w:pPr>
      <w:pBdr>
        <w:bottom w:val="single" w:sz="2" w:space="1" w:color="C0C0C0"/>
      </w:pBdr>
      <w:spacing w:before="240" w:after="0" w:line="240" w:lineRule="atLeast"/>
    </w:pPr>
  </w:style>
  <w:style w:type="paragraph" w:customStyle="1" w:styleId="Ttols">
    <w:name w:val="Títols"/>
    <w:basedOn w:val="Disposici"/>
    <w:next w:val="Normal"/>
    <w:pPr>
      <w:spacing w:before="260" w:line="300" w:lineRule="exact"/>
    </w:pPr>
    <w:rPr>
      <w:i/>
    </w:rPr>
  </w:style>
  <w:style w:type="paragraph" w:customStyle="1" w:styleId="RatllaFina">
    <w:name w:val="RatllaFina"/>
    <w:basedOn w:val="Normal"/>
    <w:next w:val="Normal"/>
    <w:pPr>
      <w:pBdr>
        <w:top w:val="single" w:sz="4" w:space="1" w:color="auto"/>
      </w:pBdr>
      <w:spacing w:before="120" w:after="120"/>
    </w:pPr>
  </w:style>
  <w:style w:type="paragraph" w:customStyle="1" w:styleId="Expo">
    <w:name w:val="Expo"/>
    <w:basedOn w:val="Normal"/>
    <w:next w:val="Normal"/>
    <w:pPr>
      <w:keepNext/>
      <w:spacing w:before="60" w:after="120"/>
    </w:pPr>
    <w:rPr>
      <w:b/>
      <w:sz w:val="22"/>
    </w:rPr>
  </w:style>
  <w:style w:type="paragraph" w:customStyle="1" w:styleId="Informe">
    <w:name w:val="Informe"/>
    <w:basedOn w:val="Normal"/>
    <w:pPr>
      <w:spacing w:before="240" w:line="300" w:lineRule="exact"/>
    </w:pPr>
    <w:rPr>
      <w:b/>
      <w:sz w:val="28"/>
    </w:rPr>
  </w:style>
  <w:style w:type="paragraph" w:customStyle="1" w:styleId="Pregunta">
    <w:name w:val="Pregunta"/>
    <w:basedOn w:val="normalN"/>
    <w:pPr>
      <w:spacing w:after="120"/>
    </w:pPr>
  </w:style>
  <w:style w:type="paragraph" w:customStyle="1" w:styleId="esmena">
    <w:name w:val="esmena"/>
    <w:basedOn w:val="Normal"/>
    <w:next w:val="Normal"/>
    <w:pPr>
      <w:spacing w:after="40"/>
    </w:pPr>
  </w:style>
  <w:style w:type="paragraph" w:customStyle="1" w:styleId="normal1">
    <w:name w:val="normal1"/>
    <w:basedOn w:val="Normal"/>
    <w:pPr>
      <w:ind w:left="284"/>
    </w:pPr>
  </w:style>
  <w:style w:type="paragraph" w:customStyle="1" w:styleId="ndex">
    <w:name w:val="Índex"/>
    <w:basedOn w:val="Normal"/>
    <w:pPr>
      <w:keepNext/>
      <w:spacing w:before="240" w:after="60"/>
    </w:pPr>
    <w:rPr>
      <w:b/>
      <w:sz w:val="24"/>
    </w:rPr>
  </w:style>
  <w:style w:type="paragraph" w:customStyle="1" w:styleId="00">
    <w:name w:val="00"/>
    <w:basedOn w:val="Normal"/>
    <w:pPr>
      <w:keepNext/>
      <w:widowControl w:val="0"/>
      <w:tabs>
        <w:tab w:val="right" w:pos="397"/>
        <w:tab w:val="left" w:pos="454"/>
      </w:tabs>
      <w:spacing w:before="60" w:after="0" w:line="260" w:lineRule="exact"/>
      <w:jc w:val="left"/>
    </w:pPr>
    <w:rPr>
      <w:b/>
      <w:sz w:val="20"/>
    </w:rPr>
  </w:style>
  <w:style w:type="paragraph" w:customStyle="1" w:styleId="Disposici2">
    <w:name w:val="Disposició2"/>
    <w:basedOn w:val="Disposici"/>
    <w:pPr>
      <w:spacing w:before="160"/>
    </w:pPr>
    <w:rPr>
      <w:sz w:val="22"/>
    </w:rPr>
  </w:style>
  <w:style w:type="paragraph" w:customStyle="1" w:styleId="secci">
    <w:name w:val="secció"/>
    <w:basedOn w:val="Normal"/>
    <w:pPr>
      <w:keepNext/>
      <w:spacing w:before="160" w:after="0"/>
    </w:pPr>
    <w:rPr>
      <w:b/>
      <w:sz w:val="22"/>
    </w:rPr>
  </w:style>
  <w:style w:type="paragraph" w:customStyle="1" w:styleId="PE">
    <w:name w:val="PE"/>
    <w:basedOn w:val="Normal"/>
    <w:next w:val="Normal"/>
  </w:style>
  <w:style w:type="paragraph" w:customStyle="1" w:styleId="PARAGRAFENDINSAT">
    <w:name w:val="PARAGRAF ENDINSAT"/>
    <w:basedOn w:val="Normal"/>
    <w:pPr>
      <w:tabs>
        <w:tab w:val="clear" w:pos="4536"/>
      </w:tabs>
    </w:pPr>
  </w:style>
  <w:style w:type="paragraph" w:customStyle="1" w:styleId="Disposa">
    <w:name w:val="Disposa"/>
    <w:basedOn w:val="Normal"/>
    <w:next w:val="Normal"/>
    <w:pPr>
      <w:spacing w:before="120"/>
    </w:pPr>
  </w:style>
  <w:style w:type="paragraph" w:customStyle="1" w:styleId="000">
    <w:name w:val="000"/>
    <w:basedOn w:val="Normal"/>
    <w:pPr>
      <w:widowControl w:val="0"/>
      <w:tabs>
        <w:tab w:val="right" w:pos="397"/>
        <w:tab w:val="left" w:pos="454"/>
      </w:tabs>
      <w:spacing w:before="40" w:after="0" w:line="260" w:lineRule="exact"/>
      <w:jc w:val="left"/>
    </w:pPr>
    <w:rPr>
      <w:b/>
      <w:sz w:val="20"/>
    </w:rPr>
  </w:style>
  <w:style w:type="paragraph" w:customStyle="1" w:styleId="0000">
    <w:name w:val="0000"/>
    <w:basedOn w:val="Normal"/>
    <w:pPr>
      <w:widowControl w:val="0"/>
      <w:tabs>
        <w:tab w:val="right" w:pos="397"/>
        <w:tab w:val="left" w:pos="454"/>
      </w:tabs>
      <w:spacing w:after="20" w:line="260" w:lineRule="exact"/>
      <w:jc w:val="left"/>
    </w:pPr>
    <w:rPr>
      <w:sz w:val="20"/>
    </w:rPr>
  </w:style>
  <w:style w:type="paragraph" w:customStyle="1" w:styleId="0t">
    <w:name w:val="0t"/>
    <w:basedOn w:val="0"/>
    <w:pPr>
      <w:keepNext w:val="0"/>
    </w:pPr>
    <w:rPr>
      <w:sz w:val="24"/>
    </w:rPr>
  </w:style>
  <w:style w:type="paragraph" w:customStyle="1" w:styleId="Classificaci">
    <w:name w:val="Classificació"/>
    <w:basedOn w:val="Normal"/>
    <w:next w:val="Normal"/>
    <w:pPr>
      <w:spacing w:after="0"/>
    </w:pPr>
    <w:rPr>
      <w:b/>
      <w:sz w:val="24"/>
    </w:rPr>
  </w:style>
  <w:style w:type="paragraph" w:customStyle="1" w:styleId="0tt">
    <w:name w:val="0tt"/>
    <w:basedOn w:val="Normal"/>
    <w:next w:val="Normal"/>
    <w:pPr>
      <w:keepNext/>
      <w:spacing w:before="240" w:after="0" w:line="300" w:lineRule="exact"/>
    </w:pPr>
    <w:rPr>
      <w:b/>
      <w:sz w:val="26"/>
    </w:rPr>
  </w:style>
  <w:style w:type="paragraph" w:customStyle="1" w:styleId="0t0">
    <w:name w:val="0t0"/>
    <w:basedOn w:val="0"/>
    <w:next w:val="Normal"/>
    <w:pPr>
      <w:keepNext w:val="0"/>
      <w:spacing w:before="0" w:after="120"/>
    </w:pPr>
    <w:rPr>
      <w:sz w:val="20"/>
    </w:rPr>
  </w:style>
  <w:style w:type="paragraph" w:customStyle="1" w:styleId="0ttt">
    <w:name w:val="0ttt"/>
    <w:basedOn w:val="nomllei"/>
    <w:next w:val="Normal"/>
    <w:rPr>
      <w:sz w:val="30"/>
    </w:rPr>
  </w:style>
  <w:style w:type="paragraph" w:customStyle="1" w:styleId="butlletnm">
    <w:name w:val="butlletí núm."/>
    <w:basedOn w:val="Normal"/>
    <w:next w:val="normalind"/>
    <w:pPr>
      <w:spacing w:after="240" w:line="260" w:lineRule="exact"/>
      <w:jc w:val="right"/>
    </w:pPr>
    <w:rPr>
      <w:i/>
      <w:sz w:val="20"/>
    </w:rPr>
  </w:style>
  <w:style w:type="paragraph" w:customStyle="1" w:styleId="Butllet">
    <w:name w:val="Butlletí"/>
    <w:basedOn w:val="Normal"/>
    <w:next w:val="Normal"/>
    <w:pPr>
      <w:keepNext/>
      <w:pBdr>
        <w:bottom w:val="single" w:sz="2" w:space="1" w:color="auto"/>
      </w:pBdr>
      <w:spacing w:before="180" w:after="0" w:line="260" w:lineRule="exact"/>
    </w:pPr>
    <w:rPr>
      <w:b/>
      <w:sz w:val="22"/>
    </w:rPr>
  </w:style>
  <w:style w:type="paragraph" w:customStyle="1" w:styleId="normalind">
    <w:name w:val="normalind"/>
    <w:basedOn w:val="Normal"/>
    <w:next w:val="butlletnm"/>
    <w:pPr>
      <w:keepNext/>
      <w:spacing w:after="0"/>
    </w:pPr>
  </w:style>
  <w:style w:type="paragraph" w:customStyle="1" w:styleId="NormalSubrallat">
    <w:name w:val="Normal Subrallat"/>
    <w:basedOn w:val="Normal"/>
    <w:next w:val="Normal"/>
    <w:pPr>
      <w:keepNext/>
    </w:pPr>
    <w:rPr>
      <w:u w:val="single"/>
    </w:rPr>
  </w:style>
  <w:style w:type="paragraph" w:customStyle="1" w:styleId="Captol">
    <w:name w:val="Capítol"/>
    <w:basedOn w:val="Normal"/>
    <w:next w:val="Normal"/>
    <w:pPr>
      <w:keepNext/>
      <w:spacing w:before="200" w:after="0" w:line="280" w:lineRule="exact"/>
    </w:pPr>
    <w:rPr>
      <w:b/>
      <w:sz w:val="24"/>
    </w:rPr>
  </w:style>
  <w:style w:type="paragraph" w:customStyle="1" w:styleId="Normal0">
    <w:name w:val="Normal+"/>
    <w:basedOn w:val="Normal"/>
    <w:next w:val="Normal"/>
    <w:pPr>
      <w:spacing w:before="120"/>
    </w:pPr>
  </w:style>
  <w:style w:type="paragraph" w:customStyle="1" w:styleId="Normal2">
    <w:name w:val="Normal++"/>
    <w:basedOn w:val="Normal0"/>
    <w:pPr>
      <w:spacing w:before="0" w:after="160"/>
    </w:pPr>
  </w:style>
  <w:style w:type="paragraph" w:customStyle="1" w:styleId="llista">
    <w:name w:val="llista"/>
    <w:basedOn w:val="Normal"/>
    <w:pPr>
      <w:spacing w:after="0"/>
    </w:pPr>
  </w:style>
  <w:style w:type="paragraph" w:customStyle="1" w:styleId="article2">
    <w:name w:val="article2"/>
    <w:basedOn w:val="article"/>
    <w:pPr>
      <w:spacing w:before="60"/>
    </w:pPr>
    <w:rPr>
      <w:sz w:val="20"/>
    </w:rPr>
  </w:style>
  <w:style w:type="paragraph" w:customStyle="1" w:styleId="Normal20">
    <w:name w:val="Normal2"/>
    <w:basedOn w:val="Normal"/>
    <w:pPr>
      <w:keepNext/>
      <w:spacing w:before="240" w:after="120"/>
    </w:pPr>
    <w:rPr>
      <w:caps/>
      <w:u w:val="single"/>
    </w:rPr>
  </w:style>
  <w:style w:type="paragraph" w:customStyle="1" w:styleId="0titol">
    <w:name w:val="0titol"/>
    <w:basedOn w:val="Normal"/>
    <w:autoRedefine/>
    <w:pPr>
      <w:spacing w:before="600" w:after="0" w:line="300" w:lineRule="exact"/>
    </w:pPr>
    <w:rPr>
      <w:b/>
      <w:caps/>
      <w:snapToGrid w:val="0"/>
      <w:sz w:val="30"/>
    </w:rPr>
  </w:style>
  <w:style w:type="paragraph" w:customStyle="1" w:styleId="Definicio">
    <w:name w:val="Definicio"/>
    <w:basedOn w:val="Normal"/>
    <w:next w:val="Normal"/>
    <w:rPr>
      <w:b/>
      <w:i/>
      <w:sz w:val="19"/>
    </w:rPr>
  </w:style>
  <w:style w:type="paragraph" w:customStyle="1" w:styleId="Normals">
    <w:name w:val="Normal+s"/>
    <w:basedOn w:val="Normal0"/>
    <w:next w:val="Normal"/>
    <w:pPr>
      <w:keepNext/>
    </w:pPr>
  </w:style>
  <w:style w:type="paragraph" w:customStyle="1" w:styleId="arti">
    <w:name w:val="arti"/>
    <w:basedOn w:val="article"/>
    <w:next w:val="Normal"/>
    <w:autoRedefine/>
    <w:pPr>
      <w:spacing w:before="0"/>
    </w:pPr>
  </w:style>
  <w:style w:type="paragraph" w:customStyle="1" w:styleId="Capitol1">
    <w:name w:val="Capitol 1"/>
    <w:basedOn w:val="Captol"/>
    <w:next w:val="Normal"/>
    <w:pPr>
      <w:spacing w:before="0"/>
    </w:pPr>
  </w:style>
  <w:style w:type="paragraph" w:customStyle="1" w:styleId="Arti2">
    <w:name w:val="Arti2"/>
    <w:basedOn w:val="article"/>
    <w:next w:val="Normal"/>
    <w:pPr>
      <w:spacing w:before="0"/>
    </w:pPr>
    <w:rPr>
      <w:i/>
      <w:iCs/>
    </w:rPr>
  </w:style>
  <w:style w:type="paragraph" w:customStyle="1" w:styleId="Arti1">
    <w:name w:val="Arti1"/>
    <w:basedOn w:val="article"/>
    <w:next w:val="Arti2"/>
    <w:pPr>
      <w:spacing w:after="0"/>
    </w:pPr>
  </w:style>
  <w:style w:type="paragraph" w:customStyle="1" w:styleId="Normalb">
    <w:name w:val="Normal b"/>
    <w:basedOn w:val="Normal"/>
    <w:pPr>
      <w:ind w:left="142"/>
    </w:pPr>
  </w:style>
  <w:style w:type="paragraph" w:customStyle="1" w:styleId="Articleb">
    <w:name w:val="Article b"/>
    <w:basedOn w:val="article"/>
    <w:next w:val="Normalb"/>
    <w:pPr>
      <w:ind w:left="142"/>
    </w:pPr>
  </w:style>
  <w:style w:type="paragraph" w:customStyle="1" w:styleId="articl">
    <w:name w:val="articl"/>
    <w:basedOn w:val="Normal"/>
    <w:next w:val="Normal"/>
    <w:pPr>
      <w:spacing w:before="160" w:after="60" w:line="240" w:lineRule="exact"/>
    </w:pPr>
    <w:rPr>
      <w:b/>
      <w:szCs w:val="21"/>
    </w:rPr>
  </w:style>
  <w:style w:type="paragraph" w:customStyle="1" w:styleId="NormalT">
    <w:name w:val="NormalT"/>
    <w:basedOn w:val="Normal"/>
    <w:pPr>
      <w:spacing w:after="0" w:line="240" w:lineRule="atLeast"/>
    </w:pPr>
    <w:rPr>
      <w:bCs/>
      <w:sz w:val="16"/>
    </w:rPr>
  </w:style>
  <w:style w:type="paragraph" w:customStyle="1" w:styleId="Reserves">
    <w:name w:val="Reserves"/>
    <w:basedOn w:val="Normal"/>
    <w:next w:val="Normal"/>
    <w:rsid w:val="004F2491"/>
    <w:pPr>
      <w:pBdr>
        <w:bottom w:val="single" w:sz="12" w:space="1" w:color="auto"/>
      </w:pBdr>
      <w:spacing w:before="600" w:after="240"/>
    </w:pPr>
    <w:rPr>
      <w:b/>
      <w:sz w:val="28"/>
      <w:szCs w:val="28"/>
    </w:rPr>
  </w:style>
  <w:style w:type="paragraph" w:customStyle="1" w:styleId="Default">
    <w:name w:val="Default"/>
    <w:rsid w:val="002C794E"/>
    <w:pPr>
      <w:autoSpaceDE w:val="0"/>
      <w:autoSpaceDN w:val="0"/>
      <w:adjustRightInd w:val="0"/>
    </w:pPr>
    <w:rPr>
      <w:rFonts w:ascii="GoudyOlSt BT" w:eastAsia="Calibri" w:hAnsi="GoudyOlSt BT" w:cs="GoudyOlSt BT"/>
      <w:color w:val="000000"/>
      <w:sz w:val="24"/>
      <w:szCs w:val="24"/>
      <w:lang w:val="ca-ES" w:eastAsia="en-US"/>
    </w:rPr>
  </w:style>
  <w:style w:type="paragraph" w:styleId="Textodeglobo">
    <w:name w:val="Balloon Text"/>
    <w:basedOn w:val="Normal"/>
    <w:link w:val="TextodegloboCar"/>
    <w:rsid w:val="008C126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rsid w:val="008C126A"/>
    <w:rPr>
      <w:rFonts w:ascii="Tahoma" w:hAnsi="Tahoma" w:cs="Tahoma"/>
      <w:sz w:val="16"/>
      <w:szCs w:val="16"/>
      <w:lang w:val="ca-ES"/>
    </w:rPr>
  </w:style>
  <w:style w:type="paragraph" w:customStyle="1" w:styleId="DATA">
    <w:name w:val="DATA"/>
    <w:basedOn w:val="Normal"/>
    <w:next w:val="Normal"/>
    <w:autoRedefine/>
    <w:rsid w:val="008C742B"/>
    <w:pPr>
      <w:widowControl w:val="0"/>
      <w:tabs>
        <w:tab w:val="clear" w:pos="4536"/>
      </w:tabs>
      <w:spacing w:before="480" w:after="240" w:line="240" w:lineRule="auto"/>
      <w:jc w:val="right"/>
    </w:pPr>
    <w:rPr>
      <w:rFonts w:ascii="Garamond" w:hAnsi="Garamond"/>
      <w:sz w:val="28"/>
      <w:szCs w:val="28"/>
    </w:rPr>
  </w:style>
  <w:style w:type="paragraph" w:customStyle="1" w:styleId="DISPOSA0">
    <w:name w:val="DISPOSA"/>
    <w:basedOn w:val="Normal"/>
    <w:rsid w:val="008C742B"/>
    <w:pPr>
      <w:widowControl w:val="0"/>
      <w:tabs>
        <w:tab w:val="clear" w:pos="4536"/>
      </w:tabs>
      <w:spacing w:before="480" w:after="480" w:line="240" w:lineRule="auto"/>
      <w:jc w:val="center"/>
    </w:pPr>
    <w:rPr>
      <w:rFonts w:ascii="Garamond" w:hAnsi="Garamond"/>
      <w:caps/>
      <w:spacing w:val="120"/>
      <w:sz w:val="28"/>
    </w:rPr>
  </w:style>
  <w:style w:type="paragraph" w:customStyle="1" w:styleId="Normal10">
    <w:name w:val="Normal1"/>
    <w:basedOn w:val="Normal"/>
    <w:autoRedefine/>
    <w:rsid w:val="008C742B"/>
    <w:pPr>
      <w:widowControl w:val="0"/>
      <w:tabs>
        <w:tab w:val="clear" w:pos="4536"/>
      </w:tabs>
      <w:spacing w:after="240" w:line="360" w:lineRule="exact"/>
    </w:pPr>
    <w:rPr>
      <w:rFonts w:ascii="Garamond" w:hAnsi="Garamond"/>
      <w:sz w:val="28"/>
    </w:rPr>
  </w:style>
  <w:style w:type="paragraph" w:customStyle="1" w:styleId="SIGNATURADECARTES">
    <w:name w:val="SIGNATURA DE CARTES"/>
    <w:autoRedefine/>
    <w:rsid w:val="008C742B"/>
    <w:pPr>
      <w:widowControl w:val="0"/>
      <w:spacing w:before="1800"/>
      <w:ind w:left="4536"/>
      <w:jc w:val="center"/>
    </w:pPr>
    <w:rPr>
      <w:rFonts w:ascii="Garamond" w:hAnsi="Garamond" w:cs="Courier New"/>
      <w:sz w:val="28"/>
      <w:lang w:val="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9678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3.xm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eader" Target="header4.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UTLLETI.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BUTLLETI.DOT</Template>
  <TotalTime>48</TotalTime>
  <Pages>12</Pages>
  <Words>5614</Words>
  <Characters>32007</Characters>
  <Application>Microsoft Office Word</Application>
  <DocSecurity>0</DocSecurity>
  <Lines>266</Lines>
  <Paragraphs>75</Paragraphs>
  <ScaleCrop>false</ScaleCrop>
  <HeadingPairs>
    <vt:vector size="2" baseType="variant">
      <vt:variant>
        <vt:lpstr>Título</vt:lpstr>
      </vt:variant>
      <vt:variant>
        <vt:i4>1</vt:i4>
      </vt:variant>
    </vt:vector>
  </HeadingPairs>
  <TitlesOfParts>
    <vt:vector size="1" baseType="lpstr">
      <vt:lpstr/>
    </vt:vector>
  </TitlesOfParts>
  <Company>ANDORRA</Company>
  <LinksUpToDate>false</LinksUpToDate>
  <CharactersWithSpaces>37546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Lidia Sinfreu</dc:creator>
  <cp:lastModifiedBy>Lidia Sinfreu</cp:lastModifiedBy>
  <cp:revision>12</cp:revision>
  <cp:lastPrinted>2001-09-18T09:01:00Z</cp:lastPrinted>
  <dcterms:created xsi:type="dcterms:W3CDTF">2015-12-22T15:42:00Z</dcterms:created>
  <dcterms:modified xsi:type="dcterms:W3CDTF">2015-12-24T08:10:00Z</dcterms:modified>
</cp:coreProperties>
</file>